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B784" w14:textId="2594F6C6" w:rsidR="007B7BAC" w:rsidRDefault="23B90D0F" w:rsidP="112C7E4E">
      <w:pPr>
        <w:shd w:val="clear" w:color="auto" w:fill="002060"/>
        <w:jc w:val="center"/>
        <w:rPr>
          <w:rFonts w:ascii="Arial" w:hAnsi="Arial" w:cs="Arial"/>
          <w:b/>
          <w:bCs/>
          <w:sz w:val="40"/>
          <w:szCs w:val="40"/>
        </w:rPr>
      </w:pPr>
      <w:r w:rsidRPr="112C7E4E">
        <w:rPr>
          <w:rFonts w:ascii="Arial" w:hAnsi="Arial" w:cs="Arial"/>
          <w:b/>
          <w:bCs/>
          <w:sz w:val="40"/>
          <w:szCs w:val="40"/>
        </w:rPr>
        <w:t>London Borough of Harrow</w:t>
      </w:r>
    </w:p>
    <w:p w14:paraId="7D94F449" w14:textId="3A15BB52" w:rsidR="00652680" w:rsidRDefault="002F5E62" w:rsidP="112C7E4E">
      <w:pPr>
        <w:shd w:val="clear" w:color="auto" w:fill="002060"/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Internal Audit</w:t>
      </w:r>
      <w:r w:rsidR="70A6549D" w:rsidRPr="112C7E4E">
        <w:rPr>
          <w:rFonts w:ascii="Arial" w:hAnsi="Arial" w:cs="Arial"/>
          <w:b/>
          <w:bCs/>
          <w:sz w:val="40"/>
          <w:szCs w:val="40"/>
        </w:rPr>
        <w:t xml:space="preserve"> </w:t>
      </w:r>
      <w:r w:rsidR="00A84446">
        <w:rPr>
          <w:rFonts w:ascii="Arial" w:hAnsi="Arial" w:cs="Arial"/>
          <w:b/>
          <w:bCs/>
          <w:sz w:val="40"/>
          <w:szCs w:val="40"/>
        </w:rPr>
        <w:t xml:space="preserve">and Corporate </w:t>
      </w:r>
      <w:proofErr w:type="spellStart"/>
      <w:r w:rsidR="00A84446">
        <w:rPr>
          <w:rFonts w:ascii="Arial" w:hAnsi="Arial" w:cs="Arial"/>
          <w:b/>
          <w:bCs/>
          <w:sz w:val="40"/>
          <w:szCs w:val="40"/>
        </w:rPr>
        <w:t>Anti Fraud</w:t>
      </w:r>
      <w:proofErr w:type="spellEnd"/>
      <w:r w:rsidR="00A84446">
        <w:rPr>
          <w:rFonts w:ascii="Arial" w:hAnsi="Arial" w:cs="Arial"/>
          <w:b/>
          <w:bCs/>
          <w:sz w:val="40"/>
          <w:szCs w:val="40"/>
        </w:rPr>
        <w:t xml:space="preserve"> Team </w:t>
      </w:r>
      <w:r w:rsidR="70A6549D" w:rsidRPr="112C7E4E">
        <w:rPr>
          <w:rFonts w:ascii="Arial" w:hAnsi="Arial" w:cs="Arial"/>
          <w:b/>
          <w:bCs/>
          <w:sz w:val="40"/>
          <w:szCs w:val="40"/>
        </w:rPr>
        <w:t xml:space="preserve">Progress </w:t>
      </w:r>
      <w:r w:rsidR="7D6FB48A" w:rsidRPr="112C7E4E">
        <w:rPr>
          <w:rFonts w:ascii="Arial" w:hAnsi="Arial" w:cs="Arial"/>
          <w:b/>
          <w:bCs/>
          <w:sz w:val="40"/>
          <w:szCs w:val="40"/>
        </w:rPr>
        <w:t>Report</w:t>
      </w:r>
    </w:p>
    <w:p w14:paraId="1679450A" w14:textId="7E9703E1" w:rsidR="003A2FB6" w:rsidRDefault="23B90D0F" w:rsidP="112C7E4E">
      <w:pPr>
        <w:shd w:val="clear" w:color="auto" w:fill="002060"/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112C7E4E">
        <w:rPr>
          <w:rFonts w:ascii="Arial" w:hAnsi="Arial" w:cs="Arial"/>
          <w:b/>
          <w:bCs/>
          <w:sz w:val="40"/>
          <w:szCs w:val="40"/>
        </w:rPr>
        <w:t xml:space="preserve">as </w:t>
      </w:r>
      <w:proofErr w:type="gramStart"/>
      <w:r w:rsidRPr="112C7E4E">
        <w:rPr>
          <w:rFonts w:ascii="Arial" w:hAnsi="Arial" w:cs="Arial"/>
          <w:b/>
          <w:bCs/>
          <w:sz w:val="40"/>
          <w:szCs w:val="40"/>
        </w:rPr>
        <w:t>at</w:t>
      </w:r>
      <w:proofErr w:type="gramEnd"/>
      <w:r w:rsidRPr="112C7E4E">
        <w:rPr>
          <w:rFonts w:ascii="Arial" w:hAnsi="Arial" w:cs="Arial"/>
          <w:b/>
          <w:bCs/>
          <w:sz w:val="40"/>
          <w:szCs w:val="40"/>
        </w:rPr>
        <w:t xml:space="preserve"> </w:t>
      </w:r>
      <w:r w:rsidR="00252BDC">
        <w:rPr>
          <w:rFonts w:ascii="Arial" w:hAnsi="Arial" w:cs="Arial"/>
          <w:b/>
          <w:bCs/>
          <w:sz w:val="40"/>
          <w:szCs w:val="40"/>
        </w:rPr>
        <w:t>29 February</w:t>
      </w:r>
      <w:r w:rsidR="00456F46">
        <w:rPr>
          <w:rFonts w:ascii="Arial" w:hAnsi="Arial" w:cs="Arial"/>
          <w:b/>
          <w:bCs/>
          <w:sz w:val="40"/>
          <w:szCs w:val="40"/>
        </w:rPr>
        <w:t xml:space="preserve"> 2024</w:t>
      </w:r>
    </w:p>
    <w:p w14:paraId="455A57BD" w14:textId="77777777" w:rsidR="0067101C" w:rsidRDefault="0067101C">
      <w:pPr>
        <w:rPr>
          <w:rFonts w:ascii="Arial" w:hAnsi="Arial" w:cs="Arial"/>
          <w:b/>
          <w:sz w:val="40"/>
          <w:szCs w:val="40"/>
        </w:rPr>
      </w:pPr>
    </w:p>
    <w:p w14:paraId="35E4D5F6" w14:textId="77777777" w:rsidR="0067101C" w:rsidRDefault="0067101C">
      <w:pPr>
        <w:rPr>
          <w:rFonts w:ascii="Arial" w:hAnsi="Arial" w:cs="Arial"/>
          <w:b/>
          <w:sz w:val="36"/>
          <w:szCs w:val="36"/>
        </w:rPr>
      </w:pPr>
      <w:r w:rsidRPr="21552B91">
        <w:rPr>
          <w:rFonts w:ascii="Arial" w:hAnsi="Arial" w:cs="Arial"/>
          <w:b/>
          <w:sz w:val="36"/>
          <w:szCs w:val="36"/>
        </w:rPr>
        <w:t>CONTENTS:</w:t>
      </w:r>
    </w:p>
    <w:p w14:paraId="039CE524" w14:textId="552899FA" w:rsidR="4FA4E430" w:rsidRDefault="4FA4E430" w:rsidP="112C7E4E">
      <w:pPr>
        <w:rPr>
          <w:rFonts w:ascii="Arial" w:hAnsi="Arial" w:cs="Arial"/>
          <w:b/>
          <w:sz w:val="32"/>
          <w:szCs w:val="32"/>
        </w:rPr>
      </w:pPr>
      <w:r w:rsidRPr="3E0218ED">
        <w:rPr>
          <w:rFonts w:ascii="Arial" w:hAnsi="Arial" w:cs="Arial"/>
          <w:b/>
          <w:sz w:val="32"/>
          <w:szCs w:val="32"/>
        </w:rPr>
        <w:t>1.</w:t>
      </w:r>
      <w:r>
        <w:tab/>
      </w:r>
      <w:r w:rsidR="023DB04D" w:rsidRPr="3E0218ED">
        <w:rPr>
          <w:rFonts w:ascii="Arial" w:hAnsi="Arial" w:cs="Arial"/>
          <w:b/>
          <w:sz w:val="32"/>
          <w:szCs w:val="32"/>
        </w:rPr>
        <w:t>Introduction</w:t>
      </w:r>
    </w:p>
    <w:p w14:paraId="7BD71F97" w14:textId="78327C2C" w:rsidR="580A4FCF" w:rsidRDefault="580A4FCF" w:rsidP="112C7E4E">
      <w:pPr>
        <w:rPr>
          <w:rFonts w:ascii="Arial" w:hAnsi="Arial" w:cs="Arial"/>
          <w:b/>
          <w:sz w:val="32"/>
          <w:szCs w:val="32"/>
        </w:rPr>
      </w:pPr>
      <w:r w:rsidRPr="3E0218ED">
        <w:rPr>
          <w:rFonts w:ascii="Arial" w:hAnsi="Arial" w:cs="Arial"/>
          <w:b/>
          <w:sz w:val="32"/>
          <w:szCs w:val="32"/>
        </w:rPr>
        <w:t>2.</w:t>
      </w:r>
      <w:r>
        <w:tab/>
      </w:r>
      <w:r w:rsidR="023DB04D" w:rsidRPr="3E0218ED">
        <w:rPr>
          <w:rFonts w:ascii="Arial" w:hAnsi="Arial" w:cs="Arial"/>
          <w:b/>
          <w:sz w:val="32"/>
          <w:szCs w:val="32"/>
        </w:rPr>
        <w:t>Head of Internal Audit Opinion</w:t>
      </w:r>
    </w:p>
    <w:p w14:paraId="6916C2F6" w14:textId="23D01046" w:rsidR="4A55F005" w:rsidRDefault="4A55F005" w:rsidP="112C7E4E">
      <w:pPr>
        <w:rPr>
          <w:rFonts w:ascii="Arial" w:hAnsi="Arial" w:cs="Arial"/>
          <w:b/>
          <w:sz w:val="32"/>
          <w:szCs w:val="32"/>
        </w:rPr>
      </w:pPr>
      <w:r w:rsidRPr="3E0218ED">
        <w:rPr>
          <w:rFonts w:ascii="Arial" w:hAnsi="Arial" w:cs="Arial"/>
          <w:b/>
          <w:sz w:val="32"/>
          <w:szCs w:val="32"/>
        </w:rPr>
        <w:t>3.</w:t>
      </w:r>
      <w:r>
        <w:tab/>
      </w:r>
      <w:r w:rsidR="54368298" w:rsidRPr="3E0218ED">
        <w:rPr>
          <w:rFonts w:ascii="Arial" w:hAnsi="Arial" w:cs="Arial"/>
          <w:b/>
          <w:sz w:val="32"/>
          <w:szCs w:val="32"/>
        </w:rPr>
        <w:t xml:space="preserve">Summary of </w:t>
      </w:r>
      <w:r w:rsidR="618C1436" w:rsidRPr="3E0218ED">
        <w:rPr>
          <w:rFonts w:ascii="Arial" w:hAnsi="Arial" w:cs="Arial"/>
          <w:b/>
          <w:sz w:val="32"/>
          <w:szCs w:val="32"/>
        </w:rPr>
        <w:t xml:space="preserve">Internal Audit </w:t>
      </w:r>
      <w:r w:rsidR="7C4A47FE" w:rsidRPr="3E0218ED">
        <w:rPr>
          <w:rFonts w:ascii="Arial" w:hAnsi="Arial" w:cs="Arial"/>
          <w:b/>
          <w:sz w:val="32"/>
          <w:szCs w:val="32"/>
        </w:rPr>
        <w:t xml:space="preserve">Progress </w:t>
      </w:r>
    </w:p>
    <w:p w14:paraId="06367BBE" w14:textId="5252B973" w:rsidR="00593142" w:rsidRPr="00DC54B9" w:rsidRDefault="65838F1C" w:rsidP="112C7E4E">
      <w:pPr>
        <w:spacing w:after="0" w:line="240" w:lineRule="auto"/>
        <w:contextualSpacing/>
        <w:rPr>
          <w:rFonts w:ascii="Arial" w:hAnsi="Arial" w:cs="Arial"/>
          <w:kern w:val="24"/>
          <w:sz w:val="28"/>
          <w:szCs w:val="28"/>
        </w:rPr>
      </w:pPr>
      <w:r w:rsidRPr="6052BDFA">
        <w:rPr>
          <w:rFonts w:ascii="Arial" w:eastAsia="+mj-ea" w:hAnsi="Arial" w:cs="+mj-cs"/>
          <w:kern w:val="24"/>
          <w:sz w:val="28"/>
          <w:szCs w:val="28"/>
        </w:rPr>
        <w:t>3.1</w:t>
      </w:r>
      <w:r w:rsidR="00593142">
        <w:tab/>
      </w:r>
      <w:r w:rsidR="26B2CD05" w:rsidRPr="6052BDFA">
        <w:rPr>
          <w:rFonts w:ascii="Arial" w:eastAsia="+mj-ea" w:hAnsi="Arial" w:cs="+mj-cs"/>
          <w:kern w:val="24"/>
          <w:sz w:val="28"/>
          <w:szCs w:val="28"/>
        </w:rPr>
        <w:t xml:space="preserve">Progress against the </w:t>
      </w:r>
      <w:r w:rsidR="70A6549D" w:rsidRPr="6052BDFA">
        <w:rPr>
          <w:rFonts w:ascii="Arial" w:eastAsia="+mj-ea" w:hAnsi="Arial" w:cs="+mj-cs"/>
          <w:kern w:val="24"/>
          <w:sz w:val="28"/>
          <w:szCs w:val="28"/>
        </w:rPr>
        <w:t>2023/24</w:t>
      </w:r>
      <w:r w:rsidR="26B2CD05" w:rsidRPr="6052BDFA">
        <w:rPr>
          <w:rFonts w:ascii="Arial" w:eastAsia="+mj-ea" w:hAnsi="Arial" w:cs="+mj-cs"/>
          <w:kern w:val="24"/>
          <w:sz w:val="28"/>
          <w:szCs w:val="28"/>
        </w:rPr>
        <w:t xml:space="preserve"> Internal Audit Plan </w:t>
      </w:r>
    </w:p>
    <w:p w14:paraId="14CF3AA6" w14:textId="6DA80EA6" w:rsidR="00593142" w:rsidRPr="00DC54B9" w:rsidRDefault="25418B6F" w:rsidP="112C7E4E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6052BDFA">
        <w:rPr>
          <w:rFonts w:ascii="Arial" w:hAnsi="Arial" w:cs="Arial"/>
          <w:sz w:val="28"/>
          <w:szCs w:val="28"/>
        </w:rPr>
        <w:t>3.2</w:t>
      </w:r>
      <w:r w:rsidR="00593142">
        <w:tab/>
      </w:r>
      <w:r w:rsidR="26B2CD05" w:rsidRPr="6052BDFA">
        <w:rPr>
          <w:rFonts w:ascii="Arial" w:hAnsi="Arial" w:cs="Arial"/>
          <w:sz w:val="28"/>
          <w:szCs w:val="28"/>
        </w:rPr>
        <w:t xml:space="preserve">Follow </w:t>
      </w:r>
      <w:r w:rsidR="2C5E1239" w:rsidRPr="6052BDFA">
        <w:rPr>
          <w:rFonts w:ascii="Arial" w:hAnsi="Arial" w:cs="Arial"/>
          <w:sz w:val="28"/>
          <w:szCs w:val="28"/>
        </w:rPr>
        <w:t>u</w:t>
      </w:r>
      <w:r w:rsidR="26B2CD05" w:rsidRPr="6052BDFA">
        <w:rPr>
          <w:rFonts w:ascii="Arial" w:hAnsi="Arial" w:cs="Arial"/>
          <w:sz w:val="28"/>
          <w:szCs w:val="28"/>
        </w:rPr>
        <w:t xml:space="preserve">p </w:t>
      </w:r>
      <w:r w:rsidR="2C5E1239" w:rsidRPr="6052BDFA">
        <w:rPr>
          <w:rFonts w:ascii="Arial" w:hAnsi="Arial" w:cs="Arial"/>
          <w:sz w:val="28"/>
          <w:szCs w:val="28"/>
        </w:rPr>
        <w:t>w</w:t>
      </w:r>
      <w:r w:rsidR="26B2CD05" w:rsidRPr="6052BDFA">
        <w:rPr>
          <w:rFonts w:ascii="Arial" w:hAnsi="Arial" w:cs="Arial"/>
          <w:sz w:val="28"/>
          <w:szCs w:val="28"/>
        </w:rPr>
        <w:t xml:space="preserve">ork </w:t>
      </w:r>
      <w:r w:rsidR="2C5E1239" w:rsidRPr="6052BDFA">
        <w:rPr>
          <w:rFonts w:ascii="Arial" w:hAnsi="Arial" w:cs="Arial"/>
          <w:sz w:val="28"/>
          <w:szCs w:val="28"/>
        </w:rPr>
        <w:t>c</w:t>
      </w:r>
      <w:r w:rsidR="26B2CD05" w:rsidRPr="6052BDFA">
        <w:rPr>
          <w:rFonts w:ascii="Arial" w:hAnsi="Arial" w:cs="Arial"/>
          <w:sz w:val="28"/>
          <w:szCs w:val="28"/>
        </w:rPr>
        <w:t>onducted/</w:t>
      </w:r>
      <w:proofErr w:type="gramStart"/>
      <w:r w:rsidR="2C5E1239" w:rsidRPr="6052BDFA">
        <w:rPr>
          <w:rFonts w:ascii="Arial" w:hAnsi="Arial" w:cs="Arial"/>
          <w:sz w:val="28"/>
          <w:szCs w:val="28"/>
        </w:rPr>
        <w:t>d</w:t>
      </w:r>
      <w:r w:rsidR="26B2CD05" w:rsidRPr="6052BDFA">
        <w:rPr>
          <w:rFonts w:ascii="Arial" w:hAnsi="Arial" w:cs="Arial"/>
          <w:sz w:val="28"/>
          <w:szCs w:val="28"/>
        </w:rPr>
        <w:t>ue</w:t>
      </w:r>
      <w:proofErr w:type="gramEnd"/>
    </w:p>
    <w:p w14:paraId="06D07273" w14:textId="59788AE5" w:rsidR="006C7B8A" w:rsidRPr="00DC54B9" w:rsidRDefault="5AD1D670" w:rsidP="112C7E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6052BDFA">
        <w:rPr>
          <w:rFonts w:ascii="Arial" w:hAnsi="Arial" w:cs="Arial"/>
          <w:sz w:val="28"/>
          <w:szCs w:val="28"/>
        </w:rPr>
        <w:t>3.3</w:t>
      </w:r>
      <w:r w:rsidR="006C7B8A">
        <w:tab/>
      </w:r>
      <w:r w:rsidR="2C5E1239" w:rsidRPr="6052BDFA">
        <w:rPr>
          <w:rFonts w:ascii="Arial" w:hAnsi="Arial" w:cs="Arial"/>
          <w:sz w:val="28"/>
          <w:szCs w:val="28"/>
        </w:rPr>
        <w:t>Performance of Internal Audit</w:t>
      </w:r>
    </w:p>
    <w:p w14:paraId="1760E04A" w14:textId="77777777" w:rsidR="00B779BF" w:rsidRDefault="003F3A0A" w:rsidP="00B779BF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6052BDFA">
        <w:rPr>
          <w:rFonts w:ascii="Arial" w:hAnsi="Arial" w:cs="Arial"/>
          <w:sz w:val="28"/>
          <w:szCs w:val="28"/>
        </w:rPr>
        <w:t>3.4</w:t>
      </w:r>
      <w:r>
        <w:tab/>
      </w:r>
      <w:r w:rsidRPr="6052BDFA">
        <w:rPr>
          <w:rFonts w:ascii="Arial" w:hAnsi="Arial" w:cs="Arial"/>
          <w:sz w:val="28"/>
          <w:szCs w:val="28"/>
        </w:rPr>
        <w:t xml:space="preserve">Summary of </w:t>
      </w:r>
      <w:r w:rsidR="00B779BF">
        <w:rPr>
          <w:rFonts w:ascii="Arial" w:hAnsi="Arial" w:cs="Arial"/>
          <w:sz w:val="28"/>
          <w:szCs w:val="28"/>
        </w:rPr>
        <w:t xml:space="preserve">UK </w:t>
      </w:r>
      <w:r w:rsidRPr="6052BDFA">
        <w:rPr>
          <w:rFonts w:ascii="Arial" w:hAnsi="Arial" w:cs="Arial"/>
          <w:sz w:val="28"/>
          <w:szCs w:val="28"/>
        </w:rPr>
        <w:t>P</w:t>
      </w:r>
      <w:r w:rsidR="00B779BF">
        <w:rPr>
          <w:rFonts w:ascii="Arial" w:hAnsi="Arial" w:cs="Arial"/>
          <w:sz w:val="28"/>
          <w:szCs w:val="28"/>
        </w:rPr>
        <w:t xml:space="preserve">ublic </w:t>
      </w:r>
      <w:r w:rsidRPr="6052BDFA">
        <w:rPr>
          <w:rFonts w:ascii="Arial" w:hAnsi="Arial" w:cs="Arial"/>
          <w:sz w:val="28"/>
          <w:szCs w:val="28"/>
        </w:rPr>
        <w:t>S</w:t>
      </w:r>
      <w:r w:rsidR="00B779BF">
        <w:rPr>
          <w:rFonts w:ascii="Arial" w:hAnsi="Arial" w:cs="Arial"/>
          <w:sz w:val="28"/>
          <w:szCs w:val="28"/>
        </w:rPr>
        <w:t xml:space="preserve">ector </w:t>
      </w:r>
      <w:r w:rsidRPr="6052BDFA">
        <w:rPr>
          <w:rFonts w:ascii="Arial" w:hAnsi="Arial" w:cs="Arial"/>
          <w:sz w:val="28"/>
          <w:szCs w:val="28"/>
        </w:rPr>
        <w:t>I</w:t>
      </w:r>
      <w:r w:rsidR="00B779BF">
        <w:rPr>
          <w:rFonts w:ascii="Arial" w:hAnsi="Arial" w:cs="Arial"/>
          <w:sz w:val="28"/>
          <w:szCs w:val="28"/>
        </w:rPr>
        <w:t xml:space="preserve">nternal </w:t>
      </w:r>
      <w:r w:rsidRPr="6052BDFA">
        <w:rPr>
          <w:rFonts w:ascii="Arial" w:hAnsi="Arial" w:cs="Arial"/>
          <w:sz w:val="28"/>
          <w:szCs w:val="28"/>
        </w:rPr>
        <w:t>A</w:t>
      </w:r>
      <w:r w:rsidR="00B779BF">
        <w:rPr>
          <w:rFonts w:ascii="Arial" w:hAnsi="Arial" w:cs="Arial"/>
          <w:sz w:val="28"/>
          <w:szCs w:val="28"/>
        </w:rPr>
        <w:t xml:space="preserve">udit </w:t>
      </w:r>
      <w:r w:rsidRPr="6052BDFA">
        <w:rPr>
          <w:rFonts w:ascii="Arial" w:hAnsi="Arial" w:cs="Arial"/>
          <w:sz w:val="28"/>
          <w:szCs w:val="28"/>
        </w:rPr>
        <w:t>S</w:t>
      </w:r>
      <w:r w:rsidR="00B779BF">
        <w:rPr>
          <w:rFonts w:ascii="Arial" w:hAnsi="Arial" w:cs="Arial"/>
          <w:sz w:val="28"/>
          <w:szCs w:val="28"/>
        </w:rPr>
        <w:t>tandards</w:t>
      </w:r>
      <w:r w:rsidRPr="6052BDFA">
        <w:rPr>
          <w:rFonts w:ascii="Arial" w:hAnsi="Arial" w:cs="Arial"/>
          <w:sz w:val="28"/>
          <w:szCs w:val="28"/>
        </w:rPr>
        <w:t xml:space="preserve"> </w:t>
      </w:r>
    </w:p>
    <w:p w14:paraId="79086DA9" w14:textId="679D6B9E" w:rsidR="003F3A0A" w:rsidRDefault="003F3A0A" w:rsidP="00B779BF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bookmarkStart w:id="0" w:name="_Int_UhFOnEHW"/>
      <w:proofErr w:type="spellStart"/>
      <w:r w:rsidRPr="31C90F15">
        <w:rPr>
          <w:rFonts w:ascii="Arial" w:hAnsi="Arial" w:cs="Arial"/>
          <w:sz w:val="28"/>
          <w:szCs w:val="28"/>
        </w:rPr>
        <w:t>Self Assessment</w:t>
      </w:r>
      <w:bookmarkEnd w:id="0"/>
      <w:proofErr w:type="spellEnd"/>
      <w:r w:rsidR="00B779BF" w:rsidRPr="31C90F15">
        <w:rPr>
          <w:rFonts w:ascii="Arial" w:hAnsi="Arial" w:cs="Arial"/>
          <w:sz w:val="28"/>
          <w:szCs w:val="28"/>
        </w:rPr>
        <w:t xml:space="preserve"> 2023</w:t>
      </w:r>
    </w:p>
    <w:p w14:paraId="7F643152" w14:textId="77777777" w:rsidR="006C7B8A" w:rsidRPr="006C7B8A" w:rsidRDefault="006C7B8A">
      <w:pPr>
        <w:rPr>
          <w:rFonts w:ascii="Arial" w:hAnsi="Arial" w:cs="Arial"/>
          <w:b/>
          <w:sz w:val="28"/>
          <w:szCs w:val="28"/>
        </w:rPr>
      </w:pPr>
      <w:bookmarkStart w:id="1" w:name="_Hlk153808522"/>
    </w:p>
    <w:p w14:paraId="1506648A" w14:textId="552B79EF" w:rsidR="00DC54B9" w:rsidRDefault="26309E1D" w:rsidP="112C7E4E">
      <w:pPr>
        <w:rPr>
          <w:rFonts w:ascii="Arial" w:hAnsi="Arial" w:cs="Arial"/>
        </w:rPr>
      </w:pPr>
      <w:r w:rsidRPr="31C90F15">
        <w:rPr>
          <w:rFonts w:ascii="Arial" w:hAnsi="Arial" w:cs="Arial"/>
          <w:b/>
          <w:bCs/>
          <w:sz w:val="32"/>
          <w:szCs w:val="32"/>
        </w:rPr>
        <w:t>4.</w:t>
      </w:r>
      <w:r>
        <w:tab/>
      </w:r>
      <w:r w:rsidR="6D8110C4" w:rsidRPr="31C90F15">
        <w:rPr>
          <w:rFonts w:ascii="Arial" w:hAnsi="Arial" w:cs="Arial"/>
          <w:b/>
          <w:bCs/>
          <w:sz w:val="32"/>
          <w:szCs w:val="32"/>
        </w:rPr>
        <w:t xml:space="preserve">Summary of </w:t>
      </w:r>
      <w:r w:rsidR="618C1436" w:rsidRPr="31C90F15">
        <w:rPr>
          <w:rFonts w:ascii="Arial" w:hAnsi="Arial" w:cs="Arial"/>
          <w:b/>
          <w:bCs/>
          <w:sz w:val="32"/>
          <w:szCs w:val="32"/>
        </w:rPr>
        <w:t>C</w:t>
      </w:r>
      <w:r w:rsidR="1B08129B" w:rsidRPr="31C90F15">
        <w:rPr>
          <w:rFonts w:ascii="Arial" w:hAnsi="Arial" w:cs="Arial"/>
          <w:b/>
          <w:bCs/>
          <w:sz w:val="32"/>
          <w:szCs w:val="32"/>
        </w:rPr>
        <w:t xml:space="preserve">orporate </w:t>
      </w:r>
      <w:bookmarkStart w:id="2" w:name="_Int_GqHSbwjc"/>
      <w:proofErr w:type="spellStart"/>
      <w:r w:rsidR="618C1436" w:rsidRPr="31C90F15">
        <w:rPr>
          <w:rFonts w:ascii="Arial" w:hAnsi="Arial" w:cs="Arial"/>
          <w:b/>
          <w:bCs/>
          <w:sz w:val="32"/>
          <w:szCs w:val="32"/>
        </w:rPr>
        <w:t>A</w:t>
      </w:r>
      <w:r w:rsidR="1B08129B" w:rsidRPr="31C90F15">
        <w:rPr>
          <w:rFonts w:ascii="Arial" w:hAnsi="Arial" w:cs="Arial"/>
          <w:b/>
          <w:bCs/>
          <w:sz w:val="32"/>
          <w:szCs w:val="32"/>
        </w:rPr>
        <w:t xml:space="preserve">nti </w:t>
      </w:r>
      <w:r w:rsidR="618C1436" w:rsidRPr="31C90F15">
        <w:rPr>
          <w:rFonts w:ascii="Arial" w:hAnsi="Arial" w:cs="Arial"/>
          <w:b/>
          <w:bCs/>
          <w:sz w:val="32"/>
          <w:szCs w:val="32"/>
        </w:rPr>
        <w:t>F</w:t>
      </w:r>
      <w:r w:rsidR="1B08129B" w:rsidRPr="31C90F15">
        <w:rPr>
          <w:rFonts w:ascii="Arial" w:hAnsi="Arial" w:cs="Arial"/>
          <w:b/>
          <w:bCs/>
          <w:sz w:val="32"/>
          <w:szCs w:val="32"/>
        </w:rPr>
        <w:t>raud</w:t>
      </w:r>
      <w:bookmarkEnd w:id="2"/>
      <w:proofErr w:type="spellEnd"/>
      <w:r w:rsidR="1B08129B" w:rsidRPr="31C90F15">
        <w:rPr>
          <w:rFonts w:ascii="Arial" w:hAnsi="Arial" w:cs="Arial"/>
          <w:b/>
          <w:bCs/>
          <w:sz w:val="32"/>
          <w:szCs w:val="32"/>
        </w:rPr>
        <w:t xml:space="preserve"> </w:t>
      </w:r>
      <w:r w:rsidR="2A9F2343" w:rsidRPr="31C90F15">
        <w:rPr>
          <w:rFonts w:ascii="Arial" w:hAnsi="Arial" w:cs="Arial"/>
          <w:b/>
          <w:bCs/>
          <w:sz w:val="32"/>
          <w:szCs w:val="32"/>
        </w:rPr>
        <w:t xml:space="preserve">Team </w:t>
      </w:r>
      <w:r w:rsidR="22003DFE" w:rsidRPr="31C90F15">
        <w:rPr>
          <w:rFonts w:ascii="Arial" w:hAnsi="Arial" w:cs="Arial"/>
          <w:b/>
          <w:bCs/>
          <w:sz w:val="32"/>
          <w:szCs w:val="32"/>
        </w:rPr>
        <w:t xml:space="preserve">Progress </w:t>
      </w:r>
      <w:bookmarkEnd w:id="1"/>
    </w:p>
    <w:p w14:paraId="42A041AE" w14:textId="027CBE9C" w:rsidR="00DC54B9" w:rsidRDefault="3243AEFC" w:rsidP="112C7E4E">
      <w:pPr>
        <w:spacing w:after="0"/>
        <w:rPr>
          <w:rFonts w:ascii="Arial" w:hAnsi="Arial" w:cs="Arial"/>
          <w:sz w:val="28"/>
          <w:szCs w:val="28"/>
        </w:rPr>
      </w:pPr>
      <w:r w:rsidRPr="3720E2F8">
        <w:rPr>
          <w:rFonts w:ascii="Arial" w:eastAsia="+mj-ea" w:hAnsi="Arial" w:cs="+mj-cs"/>
          <w:kern w:val="24"/>
          <w:sz w:val="28"/>
          <w:szCs w:val="28"/>
        </w:rPr>
        <w:t>4.1</w:t>
      </w:r>
      <w:r w:rsidR="00653A81">
        <w:tab/>
      </w:r>
      <w:r w:rsidRPr="3720E2F8">
        <w:rPr>
          <w:rFonts w:ascii="Arial" w:eastAsia="+mj-ea" w:hAnsi="Arial" w:cs="+mj-cs"/>
          <w:kern w:val="24"/>
          <w:sz w:val="28"/>
          <w:szCs w:val="28"/>
        </w:rPr>
        <w:t>O</w:t>
      </w:r>
      <w:r w:rsidR="618C1436" w:rsidRPr="3720E2F8">
        <w:rPr>
          <w:rFonts w:ascii="Arial" w:eastAsia="+mj-ea" w:hAnsi="Arial" w:cs="+mj-cs"/>
          <w:kern w:val="24"/>
          <w:sz w:val="28"/>
          <w:szCs w:val="28"/>
        </w:rPr>
        <w:t xml:space="preserve">utcomes from work of CAFT </w:t>
      </w:r>
      <w:r w:rsidR="2D997C35" w:rsidRPr="3720E2F8">
        <w:rPr>
          <w:rFonts w:ascii="Arial" w:eastAsia="+mj-ea" w:hAnsi="Arial" w:cs="+mj-cs"/>
          <w:kern w:val="24"/>
          <w:sz w:val="28"/>
          <w:szCs w:val="28"/>
        </w:rPr>
        <w:t>up to</w:t>
      </w:r>
      <w:r w:rsidR="618C1436" w:rsidRPr="3720E2F8">
        <w:rPr>
          <w:rFonts w:ascii="Arial" w:eastAsia="+mj-ea" w:hAnsi="Arial" w:cs="+mj-cs"/>
          <w:kern w:val="24"/>
          <w:sz w:val="28"/>
          <w:szCs w:val="28"/>
        </w:rPr>
        <w:t xml:space="preserve"> </w:t>
      </w:r>
      <w:r w:rsidR="0060509C">
        <w:rPr>
          <w:rFonts w:ascii="Arial" w:eastAsia="+mj-ea" w:hAnsi="Arial" w:cs="+mj-cs"/>
          <w:kern w:val="24"/>
          <w:sz w:val="28"/>
          <w:szCs w:val="28"/>
        </w:rPr>
        <w:t>29 February 2024</w:t>
      </w:r>
      <w:r w:rsidR="2CA250A4" w:rsidRPr="3720E2F8">
        <w:rPr>
          <w:rFonts w:ascii="Arial" w:hAnsi="Arial" w:cs="Arial"/>
          <w:sz w:val="28"/>
          <w:szCs w:val="28"/>
        </w:rPr>
        <w:t xml:space="preserve"> </w:t>
      </w:r>
    </w:p>
    <w:p w14:paraId="052262CD" w14:textId="410D519A" w:rsidR="00DC54B9" w:rsidRDefault="6430D0DD" w:rsidP="112C7E4E">
      <w:pPr>
        <w:spacing w:after="0"/>
        <w:rPr>
          <w:rFonts w:ascii="Arial" w:hAnsi="Arial" w:cs="Arial"/>
          <w:sz w:val="28"/>
          <w:szCs w:val="28"/>
        </w:rPr>
      </w:pPr>
      <w:r w:rsidRPr="3720E2F8">
        <w:rPr>
          <w:rFonts w:ascii="Arial" w:hAnsi="Arial" w:cs="Arial"/>
          <w:sz w:val="28"/>
          <w:szCs w:val="28"/>
        </w:rPr>
        <w:t>4.2</w:t>
      </w:r>
      <w:r w:rsidR="00653A81">
        <w:tab/>
      </w:r>
      <w:r w:rsidR="6B6EE48E" w:rsidRPr="3720E2F8">
        <w:rPr>
          <w:rFonts w:ascii="Arial" w:hAnsi="Arial" w:cs="Arial"/>
          <w:sz w:val="28"/>
          <w:szCs w:val="28"/>
        </w:rPr>
        <w:t>P</w:t>
      </w:r>
      <w:r w:rsidR="2CA250A4" w:rsidRPr="3720E2F8">
        <w:rPr>
          <w:rFonts w:ascii="Arial" w:hAnsi="Arial" w:cs="Arial"/>
          <w:sz w:val="28"/>
          <w:szCs w:val="28"/>
        </w:rPr>
        <w:t>rogress against the 2023/24 Pro-active Anti-</w:t>
      </w:r>
      <w:r w:rsidR="2C5E1239" w:rsidRPr="3720E2F8">
        <w:rPr>
          <w:rFonts w:ascii="Arial" w:hAnsi="Arial" w:cs="Arial"/>
          <w:sz w:val="28"/>
          <w:szCs w:val="28"/>
        </w:rPr>
        <w:t>F</w:t>
      </w:r>
      <w:r w:rsidR="2CA250A4" w:rsidRPr="3720E2F8">
        <w:rPr>
          <w:rFonts w:ascii="Arial" w:hAnsi="Arial" w:cs="Arial"/>
          <w:sz w:val="28"/>
          <w:szCs w:val="28"/>
        </w:rPr>
        <w:t>raud Plan</w:t>
      </w:r>
    </w:p>
    <w:p w14:paraId="7F084DA6" w14:textId="12EC8B43" w:rsidR="112C7E4E" w:rsidRDefault="41C66802" w:rsidP="240375ED">
      <w:pPr>
        <w:spacing w:after="0"/>
        <w:rPr>
          <w:rFonts w:ascii="Arial" w:hAnsi="Arial" w:cs="Arial"/>
          <w:sz w:val="28"/>
          <w:szCs w:val="28"/>
        </w:rPr>
      </w:pPr>
      <w:r w:rsidRPr="31C90F15">
        <w:rPr>
          <w:rFonts w:ascii="Arial" w:hAnsi="Arial" w:cs="Arial"/>
          <w:sz w:val="28"/>
          <w:szCs w:val="28"/>
        </w:rPr>
        <w:t>4.3</w:t>
      </w:r>
      <w:r>
        <w:tab/>
      </w:r>
      <w:r w:rsidR="2C5E1239" w:rsidRPr="31C90F15">
        <w:rPr>
          <w:rFonts w:ascii="Arial" w:hAnsi="Arial" w:cs="Arial"/>
          <w:sz w:val="28"/>
          <w:szCs w:val="28"/>
        </w:rPr>
        <w:t xml:space="preserve">Performance of the Corporate </w:t>
      </w:r>
      <w:bookmarkStart w:id="3" w:name="_Int_209iA0ic"/>
      <w:proofErr w:type="spellStart"/>
      <w:r w:rsidR="2C5E1239" w:rsidRPr="31C90F15">
        <w:rPr>
          <w:rFonts w:ascii="Arial" w:hAnsi="Arial" w:cs="Arial"/>
          <w:sz w:val="28"/>
          <w:szCs w:val="28"/>
        </w:rPr>
        <w:t>Anti Fraud</w:t>
      </w:r>
      <w:bookmarkEnd w:id="3"/>
      <w:proofErr w:type="spellEnd"/>
      <w:r w:rsidR="2C5E1239" w:rsidRPr="31C90F15">
        <w:rPr>
          <w:rFonts w:ascii="Arial" w:hAnsi="Arial" w:cs="Arial"/>
          <w:sz w:val="28"/>
          <w:szCs w:val="28"/>
        </w:rPr>
        <w:t xml:space="preserve"> Team</w:t>
      </w:r>
    </w:p>
    <w:p w14:paraId="7243FBE6" w14:textId="3EC12DA2" w:rsidR="004E6157" w:rsidRPr="00433789" w:rsidRDefault="004E6157" w:rsidP="240375ED">
      <w:pPr>
        <w:spacing w:after="0"/>
        <w:rPr>
          <w:rFonts w:ascii="Arial" w:hAnsi="Arial" w:cs="Arial"/>
          <w:sz w:val="32"/>
          <w:szCs w:val="32"/>
        </w:rPr>
      </w:pPr>
    </w:p>
    <w:p w14:paraId="72050E71" w14:textId="04B4C120" w:rsidR="004E6157" w:rsidRDefault="009B7EDB" w:rsidP="112C7E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Appendix </w:t>
      </w:r>
      <w:proofErr w:type="spellStart"/>
      <w:r>
        <w:rPr>
          <w:rFonts w:ascii="Arial" w:hAnsi="Arial" w:cs="Arial"/>
          <w:b/>
          <w:sz w:val="32"/>
          <w:szCs w:val="32"/>
        </w:rPr>
        <w:t>A</w:t>
      </w:r>
      <w:proofErr w:type="spellEnd"/>
      <w:r w:rsidR="00285B1D">
        <w:rPr>
          <w:rFonts w:ascii="Arial" w:hAnsi="Arial" w:cs="Arial"/>
          <w:b/>
          <w:sz w:val="32"/>
          <w:szCs w:val="32"/>
        </w:rPr>
        <w:tab/>
      </w:r>
      <w:r w:rsidR="12336FA2" w:rsidRPr="2E666D97">
        <w:rPr>
          <w:rFonts w:ascii="Arial" w:hAnsi="Arial" w:cs="Arial"/>
          <w:b/>
          <w:sz w:val="32"/>
          <w:szCs w:val="32"/>
        </w:rPr>
        <w:t>Audit Report Assurance Levels</w:t>
      </w:r>
    </w:p>
    <w:p w14:paraId="2EC7EAEF" w14:textId="5708ABD1" w:rsidR="009B7EDB" w:rsidRPr="00433789" w:rsidRDefault="009B7EDB" w:rsidP="112C7E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Appendix B</w:t>
      </w:r>
      <w:r>
        <w:rPr>
          <w:rFonts w:ascii="Arial" w:hAnsi="Arial" w:cs="Arial"/>
          <w:b/>
          <w:sz w:val="32"/>
          <w:szCs w:val="32"/>
        </w:rPr>
        <w:tab/>
        <w:t>PSIAS Quality Assurance and Improvement Plan</w:t>
      </w:r>
    </w:p>
    <w:p w14:paraId="4707E722" w14:textId="77777777" w:rsidR="004E6157" w:rsidRDefault="004E615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CF141BD" w14:textId="3F196D70" w:rsidR="005C125A" w:rsidRDefault="5A7C8450" w:rsidP="112C7E4E">
      <w:pPr>
        <w:shd w:val="clear" w:color="auto" w:fill="17365D" w:themeFill="text2" w:themeFillShade="BF"/>
        <w:spacing w:after="0" w:line="240" w:lineRule="auto"/>
        <w:rPr>
          <w:rFonts w:ascii="Arial" w:hAnsi="Arial" w:cs="Arial"/>
          <w:b/>
          <w:bCs/>
        </w:rPr>
      </w:pPr>
      <w:r w:rsidRPr="112C7E4E">
        <w:rPr>
          <w:rFonts w:ascii="Arial" w:hAnsi="Arial" w:cs="Arial"/>
          <w:b/>
          <w:bCs/>
          <w:sz w:val="40"/>
          <w:szCs w:val="40"/>
        </w:rPr>
        <w:lastRenderedPageBreak/>
        <w:t>1.</w:t>
      </w:r>
      <w:r w:rsidR="005C125A">
        <w:tab/>
      </w:r>
      <w:r w:rsidR="54368298" w:rsidRPr="112C7E4E">
        <w:rPr>
          <w:rFonts w:ascii="Arial" w:hAnsi="Arial" w:cs="Arial"/>
          <w:b/>
          <w:bCs/>
          <w:sz w:val="40"/>
          <w:szCs w:val="40"/>
        </w:rPr>
        <w:t>Introduction</w:t>
      </w:r>
    </w:p>
    <w:p w14:paraId="31273071" w14:textId="1B0DDCFD" w:rsidR="6D536EC0" w:rsidRDefault="6D536EC0" w:rsidP="6D536EC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1E739640" w14:textId="06A9217F" w:rsidR="0067101C" w:rsidRPr="00F44CE8" w:rsidRDefault="0067101C" w:rsidP="00314DFC">
      <w:pPr>
        <w:spacing w:after="0" w:line="240" w:lineRule="auto"/>
        <w:jc w:val="both"/>
        <w:rPr>
          <w:rFonts w:ascii="Arial" w:hAnsi="Arial" w:cs="Arial"/>
        </w:rPr>
      </w:pPr>
      <w:r w:rsidRPr="6D536EC0">
        <w:rPr>
          <w:rFonts w:ascii="Arial" w:hAnsi="Arial" w:cs="Arial"/>
          <w:lang w:val="en-US"/>
        </w:rPr>
        <w:t xml:space="preserve">This report outlines the work carried out </w:t>
      </w:r>
      <w:r w:rsidR="00C76F7C" w:rsidRPr="6D536EC0">
        <w:rPr>
          <w:rFonts w:ascii="Arial" w:hAnsi="Arial" w:cs="Arial"/>
          <w:lang w:val="en-US"/>
        </w:rPr>
        <w:t xml:space="preserve">by the Internal Audit </w:t>
      </w:r>
      <w:r w:rsidR="003A5BE5" w:rsidRPr="6D536EC0">
        <w:rPr>
          <w:rFonts w:ascii="Arial" w:hAnsi="Arial" w:cs="Arial"/>
          <w:lang w:val="en-US"/>
        </w:rPr>
        <w:t xml:space="preserve">Service </w:t>
      </w:r>
      <w:r w:rsidR="00C76F7C" w:rsidRPr="6D536EC0">
        <w:rPr>
          <w:rFonts w:ascii="Arial" w:hAnsi="Arial" w:cs="Arial"/>
          <w:lang w:val="en-US"/>
        </w:rPr>
        <w:t>and C</w:t>
      </w:r>
      <w:r w:rsidR="003A5BE5" w:rsidRPr="6D536EC0">
        <w:rPr>
          <w:rFonts w:ascii="Arial" w:hAnsi="Arial" w:cs="Arial"/>
          <w:lang w:val="en-US"/>
        </w:rPr>
        <w:t xml:space="preserve">orporate </w:t>
      </w:r>
      <w:proofErr w:type="spellStart"/>
      <w:r w:rsidR="003A5BE5" w:rsidRPr="6D536EC0">
        <w:rPr>
          <w:rFonts w:ascii="Arial" w:hAnsi="Arial" w:cs="Arial"/>
          <w:lang w:val="en-US"/>
        </w:rPr>
        <w:t>Anti Fraud</w:t>
      </w:r>
      <w:proofErr w:type="spellEnd"/>
      <w:r w:rsidR="003A5BE5" w:rsidRPr="6D536EC0">
        <w:rPr>
          <w:rFonts w:ascii="Arial" w:hAnsi="Arial" w:cs="Arial"/>
          <w:lang w:val="en-US"/>
        </w:rPr>
        <w:t xml:space="preserve"> Team</w:t>
      </w:r>
      <w:r w:rsidR="009A6780" w:rsidRPr="6D536EC0">
        <w:rPr>
          <w:rFonts w:ascii="Arial" w:hAnsi="Arial" w:cs="Arial"/>
          <w:lang w:val="en-US"/>
        </w:rPr>
        <w:t xml:space="preserve"> </w:t>
      </w:r>
      <w:r w:rsidR="003A5BE5" w:rsidRPr="6D536EC0">
        <w:rPr>
          <w:rFonts w:ascii="Arial" w:hAnsi="Arial" w:cs="Arial"/>
          <w:lang w:val="en-US"/>
        </w:rPr>
        <w:t xml:space="preserve">(CAFT) </w:t>
      </w:r>
      <w:r w:rsidR="009A6780" w:rsidRPr="6D536EC0">
        <w:rPr>
          <w:rFonts w:ascii="Arial" w:hAnsi="Arial" w:cs="Arial"/>
          <w:lang w:val="en-US"/>
        </w:rPr>
        <w:t xml:space="preserve">for the period up to </w:t>
      </w:r>
      <w:r w:rsidR="00047646">
        <w:rPr>
          <w:rFonts w:ascii="Arial" w:hAnsi="Arial" w:cs="Arial"/>
          <w:lang w:val="en-US"/>
        </w:rPr>
        <w:t>29 February 2024</w:t>
      </w:r>
      <w:r w:rsidRPr="6D536EC0">
        <w:rPr>
          <w:rFonts w:ascii="Arial" w:hAnsi="Arial" w:cs="Arial"/>
          <w:lang w:val="en-US"/>
        </w:rPr>
        <w:t xml:space="preserve">. </w:t>
      </w:r>
    </w:p>
    <w:p w14:paraId="5357DDA1" w14:textId="77777777" w:rsidR="003A3DFF" w:rsidRPr="00D20D65" w:rsidRDefault="003A3DFF" w:rsidP="00314DFC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1A4CBC80" w14:textId="380FB702" w:rsidR="005C125A" w:rsidRPr="000B7E3A" w:rsidRDefault="0067101C" w:rsidP="112C7E4E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6D536EC0">
        <w:rPr>
          <w:rFonts w:ascii="Arial" w:hAnsi="Arial" w:cs="Arial"/>
          <w:lang w:val="en-US"/>
        </w:rPr>
        <w:t>The Internal Audit Plan 20</w:t>
      </w:r>
      <w:r w:rsidR="001F4C5B" w:rsidRPr="6D536EC0">
        <w:rPr>
          <w:rFonts w:ascii="Arial" w:hAnsi="Arial" w:cs="Arial"/>
          <w:lang w:val="en-US"/>
        </w:rPr>
        <w:t>2</w:t>
      </w:r>
      <w:r w:rsidR="009A6780" w:rsidRPr="6D536EC0">
        <w:rPr>
          <w:rFonts w:ascii="Arial" w:hAnsi="Arial" w:cs="Arial"/>
          <w:lang w:val="en-US"/>
        </w:rPr>
        <w:t>3/24</w:t>
      </w:r>
      <w:r w:rsidRPr="6D536EC0">
        <w:rPr>
          <w:rFonts w:ascii="Arial" w:hAnsi="Arial" w:cs="Arial"/>
          <w:lang w:val="en-US"/>
        </w:rPr>
        <w:t xml:space="preserve"> was based on a level of internal audit input of </w:t>
      </w:r>
      <w:r w:rsidR="009A6780" w:rsidRPr="6D536EC0">
        <w:rPr>
          <w:rFonts w:ascii="Arial" w:hAnsi="Arial" w:cs="Arial"/>
          <w:lang w:val="en-US"/>
        </w:rPr>
        <w:t xml:space="preserve">366 </w:t>
      </w:r>
      <w:r w:rsidRPr="6D536EC0">
        <w:rPr>
          <w:rFonts w:ascii="Arial" w:hAnsi="Arial" w:cs="Arial"/>
          <w:lang w:val="en-US"/>
        </w:rPr>
        <w:t>days</w:t>
      </w:r>
      <w:r w:rsidR="00B45E77" w:rsidRPr="6D536EC0">
        <w:rPr>
          <w:rFonts w:ascii="Arial" w:hAnsi="Arial" w:cs="Arial"/>
          <w:lang w:val="en-US"/>
        </w:rPr>
        <w:t xml:space="preserve"> and was agreed by the Governance, Audit, Risk Management and Standards Committee on</w:t>
      </w:r>
      <w:r w:rsidR="2750EC3D" w:rsidRPr="6D536EC0">
        <w:rPr>
          <w:rFonts w:ascii="Arial" w:hAnsi="Arial" w:cs="Arial"/>
          <w:lang w:val="en-US"/>
        </w:rPr>
        <w:t xml:space="preserve"> </w:t>
      </w:r>
      <w:r w:rsidR="005A3D32" w:rsidRPr="6D536EC0">
        <w:rPr>
          <w:rFonts w:ascii="Arial" w:hAnsi="Arial" w:cs="Arial"/>
          <w:lang w:val="en-US"/>
        </w:rPr>
        <w:t>20 September 2023</w:t>
      </w:r>
      <w:r w:rsidR="00B45E77" w:rsidRPr="6D536EC0">
        <w:rPr>
          <w:rFonts w:ascii="Arial" w:hAnsi="Arial" w:cs="Arial"/>
          <w:lang w:val="en-US"/>
        </w:rPr>
        <w:t xml:space="preserve">.  </w:t>
      </w:r>
      <w:r w:rsidR="54368298" w:rsidRPr="6D536EC0">
        <w:rPr>
          <w:rFonts w:ascii="Arial" w:hAnsi="Arial" w:cs="Arial"/>
          <w:lang w:val="en-US"/>
        </w:rPr>
        <w:t xml:space="preserve">Internal </w:t>
      </w:r>
      <w:r w:rsidR="12540C6D" w:rsidRPr="6D536EC0">
        <w:rPr>
          <w:rFonts w:ascii="Arial" w:hAnsi="Arial" w:cs="Arial"/>
          <w:lang w:val="en-US"/>
        </w:rPr>
        <w:t>A</w:t>
      </w:r>
      <w:r w:rsidR="54368298" w:rsidRPr="6D536EC0">
        <w:rPr>
          <w:rFonts w:ascii="Arial" w:hAnsi="Arial" w:cs="Arial"/>
          <w:lang w:val="en-US"/>
        </w:rPr>
        <w:t xml:space="preserve">udit work </w:t>
      </w:r>
      <w:r w:rsidR="216C5979" w:rsidRPr="6D536EC0">
        <w:rPr>
          <w:rFonts w:ascii="Arial" w:hAnsi="Arial" w:cs="Arial"/>
          <w:lang w:val="en-US"/>
        </w:rPr>
        <w:t xml:space="preserve">has been </w:t>
      </w:r>
      <w:r w:rsidR="54368298" w:rsidRPr="6D536EC0">
        <w:rPr>
          <w:rFonts w:ascii="Arial" w:hAnsi="Arial" w:cs="Arial"/>
          <w:lang w:val="en-US"/>
        </w:rPr>
        <w:t xml:space="preserve">performed in </w:t>
      </w:r>
      <w:r w:rsidR="763E1A7C" w:rsidRPr="6D536EC0">
        <w:rPr>
          <w:rFonts w:ascii="Arial" w:hAnsi="Arial" w:cs="Arial"/>
          <w:lang w:val="en-US"/>
        </w:rPr>
        <w:t xml:space="preserve">compliance </w:t>
      </w:r>
      <w:r w:rsidR="54368298" w:rsidRPr="6D536EC0">
        <w:rPr>
          <w:rFonts w:ascii="Arial" w:hAnsi="Arial" w:cs="Arial"/>
          <w:lang w:val="en-US"/>
        </w:rPr>
        <w:t>with the Public Sector Internal Audit Standards.</w:t>
      </w:r>
    </w:p>
    <w:p w14:paraId="0CE84C1A" w14:textId="77777777" w:rsidR="00B90417" w:rsidRDefault="00B90417" w:rsidP="005C125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53D59A" w14:textId="77777777" w:rsidR="0093333B" w:rsidRDefault="0093333B" w:rsidP="005C125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90DD51" w14:textId="77777777" w:rsidR="0093333B" w:rsidRPr="00D20D65" w:rsidRDefault="0093333B" w:rsidP="005C125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BC2D81" w14:textId="50398AA2" w:rsidR="0067101C" w:rsidRPr="00611473" w:rsidRDefault="12681E1B" w:rsidP="6D536EC0">
      <w:pPr>
        <w:shd w:val="clear" w:color="auto" w:fill="17365D" w:themeFill="text2" w:themeFillShade="BF"/>
        <w:spacing w:after="0"/>
        <w:rPr>
          <w:rFonts w:ascii="Arial" w:hAnsi="Arial" w:cs="Arial"/>
          <w:b/>
          <w:bCs/>
          <w:lang w:val="en-US"/>
        </w:rPr>
      </w:pPr>
      <w:r w:rsidRPr="112C7E4E">
        <w:rPr>
          <w:rFonts w:ascii="Arial" w:hAnsi="Arial" w:cs="Arial"/>
          <w:b/>
          <w:bCs/>
          <w:sz w:val="40"/>
          <w:szCs w:val="40"/>
          <w:lang w:val="en-US"/>
        </w:rPr>
        <w:t>2.</w:t>
      </w:r>
      <w:r w:rsidR="003A5BE5">
        <w:tab/>
      </w:r>
      <w:r w:rsidR="54368298" w:rsidRPr="112C7E4E">
        <w:rPr>
          <w:rFonts w:ascii="Arial" w:hAnsi="Arial" w:cs="Arial"/>
          <w:b/>
          <w:bCs/>
          <w:sz w:val="40"/>
          <w:szCs w:val="40"/>
          <w:lang w:val="en-US"/>
        </w:rPr>
        <w:t xml:space="preserve">Head of </w:t>
      </w:r>
      <w:r w:rsidR="245321A4" w:rsidRPr="112C7E4E">
        <w:rPr>
          <w:rFonts w:ascii="Arial" w:hAnsi="Arial" w:cs="Arial"/>
          <w:b/>
          <w:bCs/>
          <w:sz w:val="40"/>
          <w:szCs w:val="40"/>
          <w:lang w:val="en-US"/>
        </w:rPr>
        <w:t>I</w:t>
      </w:r>
      <w:r w:rsidR="54368298" w:rsidRPr="112C7E4E">
        <w:rPr>
          <w:rFonts w:ascii="Arial" w:hAnsi="Arial" w:cs="Arial"/>
          <w:b/>
          <w:bCs/>
          <w:sz w:val="40"/>
          <w:szCs w:val="40"/>
          <w:lang w:val="en-US"/>
        </w:rPr>
        <w:t xml:space="preserve">nternal </w:t>
      </w:r>
      <w:r w:rsidR="245321A4" w:rsidRPr="112C7E4E">
        <w:rPr>
          <w:rFonts w:ascii="Arial" w:hAnsi="Arial" w:cs="Arial"/>
          <w:b/>
          <w:bCs/>
          <w:sz w:val="40"/>
          <w:szCs w:val="40"/>
          <w:lang w:val="en-US"/>
        </w:rPr>
        <w:t>A</w:t>
      </w:r>
      <w:r w:rsidR="54368298" w:rsidRPr="112C7E4E">
        <w:rPr>
          <w:rFonts w:ascii="Arial" w:hAnsi="Arial" w:cs="Arial"/>
          <w:b/>
          <w:bCs/>
          <w:sz w:val="40"/>
          <w:szCs w:val="40"/>
          <w:lang w:val="en-US"/>
        </w:rPr>
        <w:t xml:space="preserve">udit </w:t>
      </w:r>
      <w:r w:rsidR="245321A4" w:rsidRPr="112C7E4E">
        <w:rPr>
          <w:rFonts w:ascii="Arial" w:hAnsi="Arial" w:cs="Arial"/>
          <w:b/>
          <w:bCs/>
          <w:sz w:val="40"/>
          <w:szCs w:val="40"/>
          <w:lang w:val="en-US"/>
        </w:rPr>
        <w:t>O</w:t>
      </w:r>
      <w:r w:rsidR="54368298" w:rsidRPr="112C7E4E">
        <w:rPr>
          <w:rFonts w:ascii="Arial" w:hAnsi="Arial" w:cs="Arial"/>
          <w:b/>
          <w:bCs/>
          <w:sz w:val="40"/>
          <w:szCs w:val="40"/>
          <w:lang w:val="en-US"/>
        </w:rPr>
        <w:t>pinion</w:t>
      </w:r>
    </w:p>
    <w:p w14:paraId="433705ED" w14:textId="5A87A32F" w:rsidR="6D536EC0" w:rsidRDefault="6D536EC0" w:rsidP="6D536EC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458562FF" w14:textId="26A397E8" w:rsidR="00BA2892" w:rsidRPr="00F44CE8" w:rsidRDefault="00D66AF4" w:rsidP="00314DF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6D536EC0">
        <w:rPr>
          <w:rFonts w:ascii="Arial" w:hAnsi="Arial" w:cs="Arial"/>
          <w:lang w:val="en-US"/>
        </w:rPr>
        <w:t>The aim of the</w:t>
      </w:r>
      <w:r w:rsidR="003A068B" w:rsidRPr="6D536EC0">
        <w:rPr>
          <w:rFonts w:ascii="Arial" w:hAnsi="Arial" w:cs="Arial"/>
          <w:lang w:val="en-US"/>
        </w:rPr>
        <w:t xml:space="preserve"> </w:t>
      </w:r>
      <w:r w:rsidRPr="6D536EC0">
        <w:rPr>
          <w:rFonts w:ascii="Arial" w:hAnsi="Arial" w:cs="Arial"/>
          <w:lang w:val="en-US"/>
        </w:rPr>
        <w:t xml:space="preserve">internal audit </w:t>
      </w:r>
      <w:r w:rsidR="003A068B" w:rsidRPr="6D536EC0">
        <w:rPr>
          <w:rFonts w:ascii="Arial" w:hAnsi="Arial" w:cs="Arial"/>
          <w:lang w:val="en-US"/>
        </w:rPr>
        <w:t xml:space="preserve">annual </w:t>
      </w:r>
      <w:r w:rsidRPr="6D536EC0">
        <w:rPr>
          <w:rFonts w:ascii="Arial" w:hAnsi="Arial" w:cs="Arial"/>
          <w:lang w:val="en-US"/>
        </w:rPr>
        <w:t>plan is to ensure that s</w:t>
      </w:r>
      <w:r w:rsidR="0067101C" w:rsidRPr="6D536EC0">
        <w:rPr>
          <w:rFonts w:ascii="Arial" w:hAnsi="Arial" w:cs="Arial"/>
          <w:lang w:val="en-US"/>
        </w:rPr>
        <w:t xml:space="preserve">ufficient internal audit work </w:t>
      </w:r>
      <w:r w:rsidRPr="6D536EC0">
        <w:rPr>
          <w:rFonts w:ascii="Arial" w:hAnsi="Arial" w:cs="Arial"/>
          <w:lang w:val="en-US"/>
        </w:rPr>
        <w:t xml:space="preserve">is </w:t>
      </w:r>
      <w:r w:rsidR="0067101C" w:rsidRPr="6D536EC0">
        <w:rPr>
          <w:rFonts w:ascii="Arial" w:hAnsi="Arial" w:cs="Arial"/>
          <w:lang w:val="en-US"/>
        </w:rPr>
        <w:t xml:space="preserve">undertaken </w:t>
      </w:r>
      <w:r w:rsidRPr="6D536EC0">
        <w:rPr>
          <w:rFonts w:ascii="Arial" w:hAnsi="Arial" w:cs="Arial"/>
          <w:lang w:val="en-US"/>
        </w:rPr>
        <w:t xml:space="preserve">throughout the year </w:t>
      </w:r>
      <w:r w:rsidR="0067101C" w:rsidRPr="6D536EC0">
        <w:rPr>
          <w:rFonts w:ascii="Arial" w:hAnsi="Arial" w:cs="Arial"/>
          <w:lang w:val="en-US"/>
        </w:rPr>
        <w:t xml:space="preserve">to allow an opinion to be given as to the adequacy and effectiveness of governance, risk management and </w:t>
      </w:r>
      <w:r w:rsidR="00B90417" w:rsidRPr="6D536EC0">
        <w:rPr>
          <w:rFonts w:ascii="Arial" w:hAnsi="Arial" w:cs="Arial"/>
          <w:lang w:val="en-US"/>
        </w:rPr>
        <w:t xml:space="preserve">internal </w:t>
      </w:r>
      <w:r w:rsidR="0067101C" w:rsidRPr="6D536EC0">
        <w:rPr>
          <w:rFonts w:ascii="Arial" w:hAnsi="Arial" w:cs="Arial"/>
          <w:lang w:val="en-US"/>
        </w:rPr>
        <w:t>control</w:t>
      </w:r>
      <w:r w:rsidRPr="6D536EC0">
        <w:rPr>
          <w:rFonts w:ascii="Arial" w:hAnsi="Arial" w:cs="Arial"/>
          <w:lang w:val="en-US"/>
        </w:rPr>
        <w:t xml:space="preserve"> across the Council</w:t>
      </w:r>
      <w:r w:rsidR="0067101C" w:rsidRPr="6D536EC0">
        <w:rPr>
          <w:rFonts w:ascii="Arial" w:hAnsi="Arial" w:cs="Arial"/>
          <w:lang w:val="en-US"/>
        </w:rPr>
        <w:t xml:space="preserve">. </w:t>
      </w:r>
    </w:p>
    <w:p w14:paraId="2933A023" w14:textId="77777777" w:rsidR="00BA2892" w:rsidRPr="00D20D65" w:rsidRDefault="00BA2892" w:rsidP="00314DFC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B8EB3B1" w14:textId="6036C2FD" w:rsidR="005C125A" w:rsidRPr="005C125A" w:rsidRDefault="216C5979" w:rsidP="16C7B9D5">
      <w:pPr>
        <w:spacing w:after="0" w:line="240" w:lineRule="auto"/>
        <w:jc w:val="both"/>
        <w:rPr>
          <w:rFonts w:ascii="Arial" w:hAnsi="Arial" w:cs="Arial"/>
          <w:b/>
        </w:rPr>
      </w:pPr>
      <w:r w:rsidRPr="6D536EC0">
        <w:rPr>
          <w:rFonts w:ascii="Arial" w:hAnsi="Arial" w:cs="Arial"/>
          <w:lang w:val="en-US"/>
        </w:rPr>
        <w:t xml:space="preserve">The level of progress against the plan </w:t>
      </w:r>
      <w:r w:rsidR="00EA451A">
        <w:rPr>
          <w:rFonts w:ascii="Arial" w:hAnsi="Arial" w:cs="Arial"/>
          <w:lang w:val="en-US"/>
        </w:rPr>
        <w:t>as at the 29 February 2024</w:t>
      </w:r>
      <w:r w:rsidR="740E1EE6" w:rsidRPr="6D536EC0">
        <w:rPr>
          <w:rFonts w:ascii="Arial" w:hAnsi="Arial" w:cs="Arial"/>
          <w:lang w:val="en-US"/>
        </w:rPr>
        <w:t xml:space="preserve"> </w:t>
      </w:r>
      <w:r w:rsidRPr="6D536EC0">
        <w:rPr>
          <w:rFonts w:ascii="Arial" w:hAnsi="Arial" w:cs="Arial"/>
          <w:lang w:val="en-US"/>
        </w:rPr>
        <w:t>indicates that sufficient work will be undertaken to allow an opinion to be given at year-end.</w:t>
      </w:r>
    </w:p>
    <w:p w14:paraId="206A5F4D" w14:textId="60376626" w:rsidR="16C7B9D5" w:rsidRDefault="16C7B9D5" w:rsidP="16C7B9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3935B11A" w14:textId="77777777" w:rsidR="0093333B" w:rsidRDefault="0093333B" w:rsidP="16C7B9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0DE6CA7" w14:textId="77777777" w:rsidR="0093333B" w:rsidRDefault="0093333B" w:rsidP="16C7B9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202B315E" w14:textId="703AB2C3" w:rsidR="00617135" w:rsidRPr="00433789" w:rsidRDefault="1F8401F4" w:rsidP="112C7E4E">
      <w:pPr>
        <w:shd w:val="clear" w:color="auto" w:fill="002060"/>
        <w:spacing w:after="0" w:line="240" w:lineRule="auto"/>
        <w:rPr>
          <w:rFonts w:ascii="Arial" w:eastAsia="Arial" w:hAnsi="Arial" w:cs="Arial"/>
          <w:color w:val="F5F5F5"/>
        </w:rPr>
      </w:pPr>
      <w:r w:rsidRPr="112C7E4E">
        <w:rPr>
          <w:rFonts w:ascii="Arial" w:eastAsia="Arial" w:hAnsi="Arial" w:cs="Arial"/>
          <w:b/>
          <w:bCs/>
          <w:color w:val="F5F5F5"/>
          <w:sz w:val="40"/>
          <w:szCs w:val="40"/>
        </w:rPr>
        <w:t>3.</w:t>
      </w:r>
      <w:r w:rsidR="000A280F">
        <w:tab/>
      </w:r>
      <w:r w:rsidRPr="112C7E4E">
        <w:rPr>
          <w:rFonts w:ascii="Arial" w:eastAsia="Arial" w:hAnsi="Arial" w:cs="Arial"/>
          <w:b/>
          <w:bCs/>
          <w:color w:val="F5F5F5"/>
          <w:sz w:val="40"/>
          <w:szCs w:val="40"/>
        </w:rPr>
        <w:t xml:space="preserve">Summary of Internal Audit </w:t>
      </w:r>
      <w:r w:rsidR="4FCC3E1C" w:rsidRPr="112C7E4E">
        <w:rPr>
          <w:rFonts w:ascii="Arial" w:eastAsia="Arial" w:hAnsi="Arial" w:cs="Arial"/>
          <w:b/>
          <w:bCs/>
          <w:color w:val="F5F5F5"/>
          <w:sz w:val="40"/>
          <w:szCs w:val="40"/>
        </w:rPr>
        <w:t>Progress</w:t>
      </w:r>
    </w:p>
    <w:p w14:paraId="4F30348C" w14:textId="6D90D37F" w:rsidR="00617135" w:rsidRPr="000B7E3A" w:rsidRDefault="00617135" w:rsidP="112C7E4E">
      <w:pPr>
        <w:spacing w:after="0" w:line="240" w:lineRule="auto"/>
        <w:rPr>
          <w:rFonts w:cs="Calibri"/>
          <w:color w:val="000000" w:themeColor="text1"/>
          <w:sz w:val="16"/>
          <w:szCs w:val="16"/>
        </w:rPr>
      </w:pPr>
    </w:p>
    <w:p w14:paraId="6FCA438F" w14:textId="2FFFA0F7" w:rsidR="00617135" w:rsidRPr="00433789" w:rsidRDefault="1F8401F4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41B8EA1E">
        <w:rPr>
          <w:rFonts w:ascii="Arial" w:eastAsia="Arial" w:hAnsi="Arial" w:cs="Arial"/>
          <w:color w:val="000000" w:themeColor="text1"/>
        </w:rPr>
        <w:t xml:space="preserve">The work of the Internal Audit Service </w:t>
      </w:r>
      <w:r w:rsidR="099405EB" w:rsidRPr="41B8EA1E">
        <w:rPr>
          <w:rFonts w:ascii="Arial" w:eastAsia="Arial" w:hAnsi="Arial" w:cs="Arial"/>
          <w:color w:val="000000" w:themeColor="text1"/>
        </w:rPr>
        <w:t>was</w:t>
      </w:r>
      <w:r w:rsidRPr="41B8EA1E">
        <w:rPr>
          <w:rFonts w:ascii="Arial" w:eastAsia="Arial" w:hAnsi="Arial" w:cs="Arial"/>
          <w:color w:val="000000" w:themeColor="text1"/>
        </w:rPr>
        <w:t xml:space="preserve"> affect</w:t>
      </w:r>
      <w:r w:rsidR="6893C9DC" w:rsidRPr="41B8EA1E">
        <w:rPr>
          <w:rFonts w:ascii="Arial" w:eastAsia="Arial" w:hAnsi="Arial" w:cs="Arial"/>
          <w:color w:val="000000" w:themeColor="text1"/>
        </w:rPr>
        <w:t>ed</w:t>
      </w:r>
      <w:r w:rsidRPr="41B8EA1E">
        <w:rPr>
          <w:rFonts w:ascii="Arial" w:eastAsia="Arial" w:hAnsi="Arial" w:cs="Arial"/>
          <w:color w:val="000000" w:themeColor="text1"/>
        </w:rPr>
        <w:t xml:space="preserve"> by the departure of the Head of Internal Audit and </w:t>
      </w:r>
      <w:r w:rsidR="00B4303D" w:rsidRPr="41B8EA1E">
        <w:rPr>
          <w:rFonts w:ascii="Arial" w:eastAsia="Arial" w:hAnsi="Arial" w:cs="Arial"/>
          <w:color w:val="000000" w:themeColor="text1"/>
        </w:rPr>
        <w:t xml:space="preserve">an </w:t>
      </w:r>
      <w:r w:rsidR="00D20D65" w:rsidRPr="41B8EA1E">
        <w:rPr>
          <w:rFonts w:ascii="Arial" w:eastAsia="Arial" w:hAnsi="Arial" w:cs="Arial"/>
          <w:color w:val="000000" w:themeColor="text1"/>
        </w:rPr>
        <w:t>a</w:t>
      </w:r>
      <w:r w:rsidRPr="41B8EA1E">
        <w:rPr>
          <w:rFonts w:ascii="Arial" w:eastAsia="Arial" w:hAnsi="Arial" w:cs="Arial"/>
          <w:color w:val="000000" w:themeColor="text1"/>
        </w:rPr>
        <w:t>uditor</w:t>
      </w:r>
      <w:r w:rsidR="00B4303D" w:rsidRPr="41B8EA1E">
        <w:rPr>
          <w:rFonts w:ascii="Arial" w:eastAsia="Arial" w:hAnsi="Arial" w:cs="Arial"/>
          <w:color w:val="000000" w:themeColor="text1"/>
        </w:rPr>
        <w:t xml:space="preserve"> </w:t>
      </w:r>
      <w:r w:rsidRPr="41B8EA1E">
        <w:rPr>
          <w:rFonts w:ascii="Arial" w:eastAsia="Arial" w:hAnsi="Arial" w:cs="Arial"/>
          <w:color w:val="000000" w:themeColor="text1"/>
        </w:rPr>
        <w:t>a</w:t>
      </w:r>
      <w:r w:rsidR="5889AA18" w:rsidRPr="41B8EA1E">
        <w:rPr>
          <w:rFonts w:ascii="Arial" w:eastAsia="Arial" w:hAnsi="Arial" w:cs="Arial"/>
          <w:color w:val="000000" w:themeColor="text1"/>
        </w:rPr>
        <w:t>t the beginning of the financial year</w:t>
      </w:r>
      <w:r w:rsidR="00B4303D" w:rsidRPr="41B8EA1E">
        <w:rPr>
          <w:rFonts w:ascii="Arial" w:eastAsia="Arial" w:hAnsi="Arial" w:cs="Arial"/>
          <w:color w:val="000000" w:themeColor="text1"/>
        </w:rPr>
        <w:t xml:space="preserve">, leaving only </w:t>
      </w:r>
      <w:r w:rsidR="00EC55CE" w:rsidRPr="41B8EA1E">
        <w:rPr>
          <w:rFonts w:ascii="Arial" w:eastAsia="Arial" w:hAnsi="Arial" w:cs="Arial"/>
          <w:color w:val="000000" w:themeColor="text1"/>
        </w:rPr>
        <w:t xml:space="preserve">one </w:t>
      </w:r>
      <w:r w:rsidR="00B4303D" w:rsidRPr="41B8EA1E">
        <w:rPr>
          <w:rFonts w:ascii="Arial" w:eastAsia="Arial" w:hAnsi="Arial" w:cs="Arial"/>
          <w:color w:val="000000" w:themeColor="text1"/>
        </w:rPr>
        <w:t>auditor in post at that time</w:t>
      </w:r>
      <w:r w:rsidR="5889AA18" w:rsidRPr="41B8EA1E">
        <w:rPr>
          <w:rFonts w:ascii="Arial" w:eastAsia="Arial" w:hAnsi="Arial" w:cs="Arial"/>
          <w:color w:val="000000" w:themeColor="text1"/>
        </w:rPr>
        <w:t xml:space="preserve">. </w:t>
      </w:r>
      <w:r w:rsidR="7DD717D1" w:rsidRPr="41B8EA1E">
        <w:rPr>
          <w:rFonts w:ascii="Arial" w:eastAsia="Arial" w:hAnsi="Arial" w:cs="Arial"/>
          <w:color w:val="000000" w:themeColor="text1"/>
        </w:rPr>
        <w:t xml:space="preserve">Since mid-late summer two agency workers </w:t>
      </w:r>
      <w:r w:rsidR="00871DE8" w:rsidRPr="41B8EA1E">
        <w:rPr>
          <w:rFonts w:ascii="Arial" w:eastAsia="Arial" w:hAnsi="Arial" w:cs="Arial"/>
          <w:color w:val="000000" w:themeColor="text1"/>
        </w:rPr>
        <w:t xml:space="preserve">were recruited </w:t>
      </w:r>
      <w:r w:rsidR="00EC55CE" w:rsidRPr="41B8EA1E">
        <w:rPr>
          <w:rFonts w:ascii="Arial" w:eastAsia="Arial" w:hAnsi="Arial" w:cs="Arial"/>
          <w:color w:val="000000" w:themeColor="text1"/>
        </w:rPr>
        <w:t>is</w:t>
      </w:r>
      <w:r w:rsidR="7DD717D1" w:rsidRPr="41B8EA1E">
        <w:rPr>
          <w:rFonts w:ascii="Arial" w:eastAsia="Arial" w:hAnsi="Arial" w:cs="Arial"/>
          <w:color w:val="000000" w:themeColor="text1"/>
        </w:rPr>
        <w:t xml:space="preserve"> help</w:t>
      </w:r>
      <w:r w:rsidR="00EC55CE" w:rsidRPr="41B8EA1E">
        <w:rPr>
          <w:rFonts w:ascii="Arial" w:eastAsia="Arial" w:hAnsi="Arial" w:cs="Arial"/>
          <w:color w:val="000000" w:themeColor="text1"/>
        </w:rPr>
        <w:t>ing</w:t>
      </w:r>
      <w:r w:rsidR="7DD717D1" w:rsidRPr="41B8EA1E">
        <w:rPr>
          <w:rFonts w:ascii="Arial" w:eastAsia="Arial" w:hAnsi="Arial" w:cs="Arial"/>
          <w:color w:val="000000" w:themeColor="text1"/>
        </w:rPr>
        <w:t xml:space="preserve"> to ensure</w:t>
      </w:r>
      <w:r w:rsidR="395940F4" w:rsidRPr="41B8EA1E">
        <w:rPr>
          <w:rFonts w:ascii="Arial" w:eastAsia="Arial" w:hAnsi="Arial" w:cs="Arial"/>
          <w:color w:val="000000" w:themeColor="text1"/>
        </w:rPr>
        <w:t xml:space="preserve"> adequate coverage of the 2023/24 Annual Audit Plan will be achieved.</w:t>
      </w:r>
      <w:r w:rsidR="002C1E6C" w:rsidRPr="41B8EA1E">
        <w:rPr>
          <w:rFonts w:ascii="Arial" w:eastAsia="Arial" w:hAnsi="Arial" w:cs="Arial"/>
          <w:color w:val="000000" w:themeColor="text1"/>
        </w:rPr>
        <w:t xml:space="preserve">  As a result of the vacancies the </w:t>
      </w:r>
      <w:r w:rsidR="00DA2C9E" w:rsidRPr="41B8EA1E">
        <w:rPr>
          <w:rFonts w:ascii="Arial" w:eastAsia="Arial" w:hAnsi="Arial" w:cs="Arial"/>
          <w:color w:val="000000" w:themeColor="text1"/>
        </w:rPr>
        <w:t xml:space="preserve">number of </w:t>
      </w:r>
      <w:r w:rsidR="002C1E6C" w:rsidRPr="41B8EA1E">
        <w:rPr>
          <w:rFonts w:ascii="Arial" w:eastAsia="Arial" w:hAnsi="Arial" w:cs="Arial"/>
          <w:color w:val="000000" w:themeColor="text1"/>
        </w:rPr>
        <w:t>plan</w:t>
      </w:r>
      <w:r w:rsidR="006E6305" w:rsidRPr="41B8EA1E">
        <w:rPr>
          <w:rFonts w:ascii="Arial" w:eastAsia="Arial" w:hAnsi="Arial" w:cs="Arial"/>
          <w:color w:val="000000" w:themeColor="text1"/>
        </w:rPr>
        <w:t>ned reviews</w:t>
      </w:r>
      <w:r w:rsidR="002C1E6C" w:rsidRPr="41B8EA1E">
        <w:rPr>
          <w:rFonts w:ascii="Arial" w:eastAsia="Arial" w:hAnsi="Arial" w:cs="Arial"/>
          <w:color w:val="000000" w:themeColor="text1"/>
        </w:rPr>
        <w:t xml:space="preserve"> for 2023/24 </w:t>
      </w:r>
      <w:r w:rsidR="006E6305" w:rsidRPr="41B8EA1E">
        <w:rPr>
          <w:rFonts w:ascii="Arial" w:eastAsia="Arial" w:hAnsi="Arial" w:cs="Arial"/>
          <w:color w:val="000000" w:themeColor="text1"/>
        </w:rPr>
        <w:t xml:space="preserve">are less than would be </w:t>
      </w:r>
      <w:r w:rsidR="00DA2C9E" w:rsidRPr="41B8EA1E">
        <w:rPr>
          <w:rFonts w:ascii="Arial" w:eastAsia="Arial" w:hAnsi="Arial" w:cs="Arial"/>
          <w:color w:val="000000" w:themeColor="text1"/>
        </w:rPr>
        <w:t>expected</w:t>
      </w:r>
      <w:r w:rsidR="006E6305" w:rsidRPr="41B8EA1E">
        <w:rPr>
          <w:rFonts w:ascii="Arial" w:eastAsia="Arial" w:hAnsi="Arial" w:cs="Arial"/>
          <w:color w:val="000000" w:themeColor="text1"/>
        </w:rPr>
        <w:t xml:space="preserve"> were there a full </w:t>
      </w:r>
      <w:r w:rsidR="3E1A4BD3" w:rsidRPr="41B8EA1E">
        <w:rPr>
          <w:rFonts w:ascii="Arial" w:eastAsia="Arial" w:hAnsi="Arial" w:cs="Arial"/>
          <w:color w:val="000000" w:themeColor="text1"/>
        </w:rPr>
        <w:t>complement</w:t>
      </w:r>
      <w:r w:rsidR="006E6305" w:rsidRPr="41B8EA1E">
        <w:rPr>
          <w:rFonts w:ascii="Arial" w:eastAsia="Arial" w:hAnsi="Arial" w:cs="Arial"/>
          <w:color w:val="000000" w:themeColor="text1"/>
        </w:rPr>
        <w:t xml:space="preserve"> of auditors.</w:t>
      </w:r>
      <w:r w:rsidR="00D56006" w:rsidRPr="41B8EA1E">
        <w:rPr>
          <w:rFonts w:ascii="Arial" w:eastAsia="Arial" w:hAnsi="Arial" w:cs="Arial"/>
          <w:color w:val="000000" w:themeColor="text1"/>
        </w:rPr>
        <w:t xml:space="preserve"> </w:t>
      </w:r>
    </w:p>
    <w:p w14:paraId="0A301A4F" w14:textId="49BB236F" w:rsidR="00617135" w:rsidRPr="00D20D65" w:rsidRDefault="00617135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241F6C3" w14:textId="56D371E4" w:rsidR="395940F4" w:rsidRDefault="395940F4" w:rsidP="6D536EC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D536EC0">
        <w:rPr>
          <w:rFonts w:ascii="Arial" w:eastAsia="Arial" w:hAnsi="Arial" w:cs="Arial"/>
          <w:color w:val="000000" w:themeColor="text1"/>
        </w:rPr>
        <w:t xml:space="preserve">As at </w:t>
      </w:r>
      <w:r w:rsidR="00371D92">
        <w:rPr>
          <w:rFonts w:ascii="Arial" w:eastAsia="Arial" w:hAnsi="Arial" w:cs="Arial"/>
          <w:color w:val="000000" w:themeColor="text1"/>
        </w:rPr>
        <w:t xml:space="preserve">the </w:t>
      </w:r>
      <w:r w:rsidR="00100796">
        <w:rPr>
          <w:rFonts w:ascii="Arial" w:eastAsia="Arial" w:hAnsi="Arial" w:cs="Arial"/>
          <w:color w:val="000000" w:themeColor="text1"/>
        </w:rPr>
        <w:t>29 February 2024</w:t>
      </w:r>
      <w:r w:rsidRPr="6D536EC0">
        <w:rPr>
          <w:rFonts w:ascii="Arial" w:eastAsia="Arial" w:hAnsi="Arial" w:cs="Arial"/>
          <w:color w:val="000000" w:themeColor="text1"/>
        </w:rPr>
        <w:t xml:space="preserve"> </w:t>
      </w:r>
      <w:r w:rsidR="0C388A8F" w:rsidRPr="6D536EC0">
        <w:rPr>
          <w:rFonts w:ascii="Arial" w:eastAsia="Arial" w:hAnsi="Arial" w:cs="Arial"/>
          <w:color w:val="000000" w:themeColor="text1"/>
        </w:rPr>
        <w:t xml:space="preserve">a total of </w:t>
      </w:r>
      <w:r w:rsidR="005B1D49" w:rsidRPr="4DEDC1A1">
        <w:rPr>
          <w:rFonts w:ascii="Arial" w:eastAsia="Arial" w:hAnsi="Arial" w:cs="Arial"/>
          <w:color w:val="000000" w:themeColor="text1"/>
        </w:rPr>
        <w:t>27</w:t>
      </w:r>
      <w:r w:rsidR="0C388A8F" w:rsidRPr="6D536EC0">
        <w:rPr>
          <w:rFonts w:ascii="Arial" w:eastAsia="Arial" w:hAnsi="Arial" w:cs="Arial"/>
          <w:color w:val="000000" w:themeColor="text1"/>
        </w:rPr>
        <w:t xml:space="preserve"> reviews had been </w:t>
      </w:r>
      <w:r w:rsidR="7E5EA308" w:rsidRPr="6D536EC0">
        <w:rPr>
          <w:rFonts w:ascii="Arial" w:eastAsia="Arial" w:hAnsi="Arial" w:cs="Arial"/>
          <w:color w:val="000000" w:themeColor="text1"/>
        </w:rPr>
        <w:t xml:space="preserve">started from the 2023/24 Annual Plan, </w:t>
      </w:r>
      <w:r w:rsidR="00312CFD" w:rsidRPr="4DEDC1A1">
        <w:rPr>
          <w:rFonts w:ascii="Arial" w:eastAsia="Arial" w:hAnsi="Arial" w:cs="Arial"/>
          <w:color w:val="000000" w:themeColor="text1"/>
        </w:rPr>
        <w:t>21</w:t>
      </w:r>
      <w:r w:rsidR="7E5EA308" w:rsidRPr="6D536EC0">
        <w:rPr>
          <w:rFonts w:ascii="Arial" w:eastAsia="Arial" w:hAnsi="Arial" w:cs="Arial"/>
          <w:color w:val="000000" w:themeColor="text1"/>
        </w:rPr>
        <w:t xml:space="preserve"> have been completed and </w:t>
      </w:r>
      <w:r w:rsidR="54DE3A2F" w:rsidRPr="4DEDC1A1">
        <w:rPr>
          <w:rFonts w:ascii="Arial" w:eastAsia="Arial" w:hAnsi="Arial" w:cs="Arial"/>
          <w:color w:val="000000" w:themeColor="text1"/>
        </w:rPr>
        <w:t>one</w:t>
      </w:r>
      <w:r w:rsidR="411C8617" w:rsidRPr="4DEDC1A1">
        <w:rPr>
          <w:rFonts w:ascii="Arial" w:eastAsia="Arial" w:hAnsi="Arial" w:cs="Arial"/>
          <w:color w:val="000000" w:themeColor="text1"/>
        </w:rPr>
        <w:t xml:space="preserve"> </w:t>
      </w:r>
      <w:r w:rsidR="00312CFD" w:rsidRPr="4DEDC1A1">
        <w:rPr>
          <w:rFonts w:ascii="Arial" w:eastAsia="Arial" w:hAnsi="Arial" w:cs="Arial"/>
          <w:color w:val="000000" w:themeColor="text1"/>
        </w:rPr>
        <w:t>is</w:t>
      </w:r>
      <w:r w:rsidR="7E5EA308" w:rsidRPr="4DEDC1A1">
        <w:rPr>
          <w:rFonts w:ascii="Arial" w:eastAsia="Arial" w:hAnsi="Arial" w:cs="Arial"/>
          <w:color w:val="000000" w:themeColor="text1"/>
        </w:rPr>
        <w:t xml:space="preserve"> </w:t>
      </w:r>
      <w:r w:rsidR="7E5EA308" w:rsidRPr="6D536EC0">
        <w:rPr>
          <w:rFonts w:ascii="Arial" w:eastAsia="Arial" w:hAnsi="Arial" w:cs="Arial"/>
          <w:color w:val="000000" w:themeColor="text1"/>
        </w:rPr>
        <w:t>currently at draft report stage.</w:t>
      </w:r>
      <w:r w:rsidR="268D1F92" w:rsidRPr="6D536EC0">
        <w:rPr>
          <w:rFonts w:ascii="Arial" w:eastAsia="Arial" w:hAnsi="Arial" w:cs="Arial"/>
          <w:color w:val="000000" w:themeColor="text1"/>
        </w:rPr>
        <w:t xml:space="preserve"> </w:t>
      </w:r>
      <w:r w:rsidR="25F32209" w:rsidRPr="6D536EC0">
        <w:rPr>
          <w:rFonts w:ascii="Arial" w:eastAsia="Arial" w:hAnsi="Arial" w:cs="Arial"/>
          <w:color w:val="000000" w:themeColor="text1"/>
        </w:rPr>
        <w:t>Progress with the 2023/</w:t>
      </w:r>
      <w:r w:rsidR="528273B9" w:rsidRPr="6D536EC0">
        <w:rPr>
          <w:rFonts w:ascii="Arial" w:eastAsia="Arial" w:hAnsi="Arial" w:cs="Arial"/>
          <w:color w:val="000000" w:themeColor="text1"/>
        </w:rPr>
        <w:t>2</w:t>
      </w:r>
      <w:r w:rsidR="25F32209" w:rsidRPr="6D536EC0">
        <w:rPr>
          <w:rFonts w:ascii="Arial" w:eastAsia="Arial" w:hAnsi="Arial" w:cs="Arial"/>
          <w:color w:val="000000" w:themeColor="text1"/>
        </w:rPr>
        <w:t xml:space="preserve">4 Annual Plan is summarised in </w:t>
      </w:r>
      <w:r w:rsidR="6CD73B14" w:rsidRPr="6D536EC0">
        <w:rPr>
          <w:rFonts w:ascii="Arial" w:eastAsia="Arial" w:hAnsi="Arial" w:cs="Arial"/>
          <w:color w:val="000000" w:themeColor="text1"/>
        </w:rPr>
        <w:t>Ta</w:t>
      </w:r>
      <w:r w:rsidR="25F32209" w:rsidRPr="6D536EC0">
        <w:rPr>
          <w:rFonts w:ascii="Arial" w:eastAsia="Arial" w:hAnsi="Arial" w:cs="Arial"/>
          <w:color w:val="000000" w:themeColor="text1"/>
        </w:rPr>
        <w:t>ble1 below.</w:t>
      </w:r>
      <w:r w:rsidR="6F369006" w:rsidRPr="6D536EC0">
        <w:rPr>
          <w:rFonts w:ascii="Arial" w:eastAsia="Arial" w:hAnsi="Arial" w:cs="Arial"/>
          <w:color w:val="000000" w:themeColor="text1"/>
        </w:rPr>
        <w:t xml:space="preserve"> The table shows </w:t>
      </w:r>
      <w:r w:rsidR="008F5F8C" w:rsidRPr="4DEDC1A1">
        <w:rPr>
          <w:rFonts w:ascii="Arial" w:eastAsia="Arial" w:hAnsi="Arial" w:cs="Arial"/>
          <w:color w:val="000000" w:themeColor="text1"/>
        </w:rPr>
        <w:t>75</w:t>
      </w:r>
      <w:r w:rsidR="6F369006" w:rsidRPr="6D536EC0">
        <w:rPr>
          <w:rFonts w:ascii="Arial" w:eastAsia="Arial" w:hAnsi="Arial" w:cs="Arial"/>
          <w:color w:val="000000" w:themeColor="text1"/>
        </w:rPr>
        <w:t>% have been completed or are in progress.</w:t>
      </w:r>
    </w:p>
    <w:p w14:paraId="35BABD42" w14:textId="5AEF9CC9" w:rsidR="00617135" w:rsidRDefault="00617135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567AC74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7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2055"/>
        <w:gridCol w:w="1875"/>
      </w:tblGrid>
      <w:tr w:rsidR="112C7E4E" w14:paraId="1E843ADA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95D5D" w14:textId="01D8C99E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12C7E4E">
              <w:rPr>
                <w:rFonts w:ascii="Arial" w:eastAsia="Arial" w:hAnsi="Arial" w:cs="Arial"/>
                <w:b/>
                <w:bCs/>
                <w:color w:val="000000" w:themeColor="text1"/>
              </w:rPr>
              <w:t>2023/24 Internal Audit Plan</w:t>
            </w:r>
            <w:r w:rsidRPr="112C7E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CF337AA" w14:textId="136A8BD8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12C7E4E">
              <w:rPr>
                <w:rFonts w:ascii="Arial" w:eastAsia="Arial" w:hAnsi="Arial" w:cs="Arial"/>
                <w:b/>
                <w:bCs/>
                <w:color w:val="000000" w:themeColor="text1"/>
              </w:rPr>
              <w:t>Stage of Audit Activity</w:t>
            </w:r>
            <w:r w:rsidRPr="112C7E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704BB" w14:textId="0647731B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12C7E4E">
              <w:rPr>
                <w:rFonts w:ascii="Arial" w:eastAsia="Arial" w:hAnsi="Arial" w:cs="Arial"/>
                <w:b/>
                <w:bCs/>
                <w:color w:val="000000" w:themeColor="text1"/>
              </w:rPr>
              <w:t>Number of Audit Reviews</w:t>
            </w:r>
            <w:r w:rsidRPr="112C7E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5C07" w14:textId="622EAE32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12C7E4E">
              <w:rPr>
                <w:rFonts w:ascii="Arial" w:eastAsia="Arial" w:hAnsi="Arial" w:cs="Arial"/>
                <w:b/>
                <w:bCs/>
                <w:color w:val="000000" w:themeColor="text1"/>
              </w:rPr>
              <w:t>Percentage of Revised Plan</w:t>
            </w:r>
            <w:r w:rsidRPr="112C7E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112C7E4E" w14:paraId="3A46B585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A91D" w14:textId="54EE95DC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Scoping/Terms of Reference Agreed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4B3B" w14:textId="2438363A" w:rsidR="112C7E4E" w:rsidRDefault="112C7E4E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B90B" w14:textId="70CCE7D3" w:rsidR="112C7E4E" w:rsidRDefault="112C7E4E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12C7E4E" w14:paraId="6967AB2D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38912" w14:textId="32374DC8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Fieldwork in Progress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2B948" w14:textId="7FA671A3" w:rsidR="112C7E4E" w:rsidRPr="005459BF" w:rsidRDefault="4E291450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459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0101" w:rsidRPr="005459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375A7" w14:textId="01DEC5B2" w:rsidR="112C7E4E" w:rsidRPr="00B15056" w:rsidRDefault="6ED6A1B7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50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3C13A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B150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  <w:r w:rsidR="4E291450" w:rsidRPr="00B150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12C7E4E" w14:paraId="3DEAFD19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CC243" w14:textId="603D6110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Draft Report Issued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B2A5A" w14:textId="5D0DFFAF" w:rsidR="112C7E4E" w:rsidRPr="005459BF" w:rsidRDefault="4E291450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459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180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E3057" w14:textId="18E078D6" w:rsidR="112C7E4E" w:rsidRPr="00B15056" w:rsidRDefault="4E291450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50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87EE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42BF6BC6" w:rsidRPr="00B150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112C7E4E" w14:paraId="1F4CD36E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B8498" w14:textId="189322B7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Completed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D4F90" w14:textId="61676C39" w:rsidR="112C7E4E" w:rsidRPr="005459BF" w:rsidRDefault="112C7E4E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459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180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CDAF1" w14:textId="4FA5BDCD" w:rsidR="112C7E4E" w:rsidRPr="00B15056" w:rsidRDefault="00AE46C7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="00312C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="42E14D90" w:rsidRPr="00B150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  <w:r w:rsidR="4E291450" w:rsidRPr="00B150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12C7E4E" w14:paraId="107601B1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20FD7" w14:textId="2BAE4416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Total Work Completed/In progress</w:t>
            </w: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F5693" w14:textId="75B680C7" w:rsidR="112C7E4E" w:rsidRPr="005459BF" w:rsidRDefault="112C7E4E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4DEDC1A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15056" w:rsidRPr="4DEDC1A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DCC1" w14:textId="276EDECB" w:rsidR="112C7E4E" w:rsidRPr="00B15056" w:rsidRDefault="00A57C16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4DEDC1A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75</w:t>
            </w:r>
            <w:r w:rsidR="5E3C6BF0" w:rsidRPr="4DEDC1A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%</w:t>
            </w:r>
            <w:r w:rsidR="4E291450" w:rsidRPr="4DEDC1A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12C7E4E" w14:paraId="20125DCC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CCBE0" w14:textId="312AF2DE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Original Plan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F6165" w14:textId="605BDFBE" w:rsidR="112C7E4E" w:rsidRPr="00B4211F" w:rsidRDefault="112C7E4E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41E9D69"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2A6E4" w14:textId="52E5B719" w:rsidR="112C7E4E" w:rsidRPr="00B4211F" w:rsidRDefault="112C7E4E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12C7E4E" w14:paraId="2985E53D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A3CA3" w14:textId="3BB3EC1F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Additional Requests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CFC00" w14:textId="535D69D5" w:rsidR="112C7E4E" w:rsidRPr="008C76FE" w:rsidRDefault="112C7E4E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C76FE"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8C9C77" w14:textId="2683C942" w:rsidR="112C7E4E" w:rsidRPr="00B4211F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12C7E4E" w14:paraId="01DA30F4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A44A8" w14:textId="49D13A0F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Postponed/Cancelled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9B20F" w14:textId="2D0E88F3" w:rsidR="112C7E4E" w:rsidRPr="008C76FE" w:rsidRDefault="4E291450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5424CBE"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6FF9FE" w14:textId="1E4E35E4" w:rsidR="112C7E4E" w:rsidRPr="00B4211F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DEDC1A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12C7E4E" w14:paraId="257E8237" w14:textId="77777777" w:rsidTr="6D536EC0">
        <w:trPr>
          <w:trHeight w:val="300"/>
          <w:jc w:val="center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F322D" w14:textId="51B57E24" w:rsidR="112C7E4E" w:rsidRDefault="112C7E4E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Total Revised Plan</w:t>
            </w:r>
            <w:r w:rsidRPr="16C7B9D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9EBC" w14:textId="0C9A26D9" w:rsidR="112C7E4E" w:rsidRDefault="4E291450" w:rsidP="001F29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3A0A660A" w:rsidRPr="4DEDC1A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15B68" w:rsidRPr="4DEDC1A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E63234" w14:textId="701658CD" w:rsidR="112C7E4E" w:rsidRDefault="4F92CC7A" w:rsidP="001F298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56A7A8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Table 1</w:t>
            </w:r>
          </w:p>
        </w:tc>
      </w:tr>
    </w:tbl>
    <w:p w14:paraId="55EDB828" w14:textId="174E5468" w:rsidR="00617135" w:rsidRDefault="00617135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C8C2AD4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8051F5B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3223A23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1AB731C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9CFBD27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64B1992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95216AC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C67073B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5951E65" w14:textId="77777777" w:rsidR="0093333B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353D736" w14:textId="77777777" w:rsidR="0093333B" w:rsidRPr="00433789" w:rsidRDefault="0093333B" w:rsidP="112C7E4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25F3EF8" w14:textId="5920A751" w:rsidR="00A9651D" w:rsidRPr="00433789" w:rsidRDefault="5B8D0489" w:rsidP="112C7E4E">
      <w:pPr>
        <w:spacing w:after="0" w:line="240" w:lineRule="auto"/>
        <w:jc w:val="both"/>
        <w:rPr>
          <w:rFonts w:ascii="Arial" w:eastAsia="Arial" w:hAnsi="Arial" w:cs="Arial"/>
        </w:rPr>
      </w:pPr>
      <w:r w:rsidRPr="6D536EC0">
        <w:rPr>
          <w:rFonts w:ascii="Arial" w:eastAsia="Arial" w:hAnsi="Arial" w:cs="Arial"/>
        </w:rPr>
        <w:lastRenderedPageBreak/>
        <w:t xml:space="preserve">Details of changes to the original audit plan are shown in Table </w:t>
      </w:r>
      <w:r w:rsidR="7F27FA93" w:rsidRPr="6D536EC0">
        <w:rPr>
          <w:rFonts w:ascii="Arial" w:eastAsia="Arial" w:hAnsi="Arial" w:cs="Arial"/>
        </w:rPr>
        <w:t>2</w:t>
      </w:r>
      <w:r w:rsidRPr="6D536EC0">
        <w:rPr>
          <w:rFonts w:ascii="Arial" w:eastAsia="Arial" w:hAnsi="Arial" w:cs="Arial"/>
        </w:rPr>
        <w:t xml:space="preserve"> below.</w:t>
      </w:r>
    </w:p>
    <w:tbl>
      <w:tblPr>
        <w:tblStyle w:val="TableGrid"/>
        <w:tblW w:w="9525" w:type="dxa"/>
        <w:tblLayout w:type="fixed"/>
        <w:tblLook w:val="04A0" w:firstRow="1" w:lastRow="0" w:firstColumn="1" w:lastColumn="0" w:noHBand="0" w:noVBand="1"/>
      </w:tblPr>
      <w:tblGrid>
        <w:gridCol w:w="4635"/>
        <w:gridCol w:w="4890"/>
      </w:tblGrid>
      <w:tr w:rsidR="112C7E4E" w14:paraId="252160D7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left w:w="108" w:type="dxa"/>
              <w:right w:w="108" w:type="dxa"/>
            </w:tcMar>
          </w:tcPr>
          <w:p w14:paraId="1AA490F7" w14:textId="02B3090F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6D358CB">
              <w:rPr>
                <w:rFonts w:ascii="Arial" w:eastAsia="Arial" w:hAnsi="Arial" w:cs="Arial"/>
                <w:b/>
                <w:sz w:val="24"/>
                <w:szCs w:val="24"/>
              </w:rPr>
              <w:t>Cancelled or Postponed Reviews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left w:w="108" w:type="dxa"/>
              <w:right w:w="108" w:type="dxa"/>
            </w:tcMar>
          </w:tcPr>
          <w:p w14:paraId="28C4EE13" w14:textId="465DAB56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6D358CB">
              <w:rPr>
                <w:rFonts w:ascii="Arial" w:eastAsia="Arial" w:hAnsi="Arial" w:cs="Arial"/>
                <w:b/>
                <w:sz w:val="24"/>
                <w:szCs w:val="24"/>
              </w:rPr>
              <w:t>Reasons for Deferral</w:t>
            </w:r>
          </w:p>
        </w:tc>
      </w:tr>
      <w:tr w:rsidR="112C7E4E" w14:paraId="0B42B4BB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4CC18" w14:textId="13418E63" w:rsidR="112C7E4E" w:rsidRDefault="112C7E4E" w:rsidP="523A79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HSDP/Council Owned Companies Governance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86E1AE" w14:textId="0B9CE414" w:rsidR="112C7E4E" w:rsidRDefault="112C7E4E" w:rsidP="523A79D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sz w:val="20"/>
                <w:szCs w:val="20"/>
              </w:rPr>
              <w:t>Cancelled at request of management, external review commissioned</w:t>
            </w:r>
          </w:p>
        </w:tc>
      </w:tr>
      <w:tr w:rsidR="112C7E4E" w14:paraId="4CA16996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DAB9D" w14:textId="1855600B" w:rsidR="112C7E4E" w:rsidRDefault="112C7E4E" w:rsidP="112C7E4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16C7B9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Safeguarding Team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EC40EA" w14:textId="50C2853D" w:rsidR="112C7E4E" w:rsidRDefault="112C7E4E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sz w:val="20"/>
                <w:szCs w:val="20"/>
              </w:rPr>
              <w:t>Deferred at management request</w:t>
            </w:r>
          </w:p>
        </w:tc>
      </w:tr>
      <w:tr w:rsidR="112C7E4E" w14:paraId="1B565E98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C73AD3" w14:textId="281D16CE" w:rsidR="112C7E4E" w:rsidRDefault="004F7E49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Marlborough</w:t>
            </w:r>
            <w:r w:rsidR="6980603F" w:rsidRPr="16C7B9D5">
              <w:rPr>
                <w:rFonts w:ascii="Arial" w:eastAsia="Arial" w:hAnsi="Arial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4D553B" w14:textId="68F35EEA" w:rsidR="112C7E4E" w:rsidRDefault="1CC65B03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sz w:val="20"/>
                <w:szCs w:val="20"/>
              </w:rPr>
              <w:t>Deferred due to Ofsted Inspection</w:t>
            </w:r>
          </w:p>
        </w:tc>
      </w:tr>
      <w:tr w:rsidR="112C7E4E" w14:paraId="132DCF42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left w:w="108" w:type="dxa"/>
              <w:right w:w="108" w:type="dxa"/>
            </w:tcMar>
          </w:tcPr>
          <w:p w14:paraId="12FCDC54" w14:textId="71582585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F6834F8">
              <w:rPr>
                <w:rFonts w:ascii="Arial" w:eastAsia="Arial" w:hAnsi="Arial" w:cs="Arial"/>
                <w:sz w:val="24"/>
                <w:szCs w:val="24"/>
              </w:rPr>
              <w:t xml:space="preserve"> Additional Reviews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left w:w="108" w:type="dxa"/>
              <w:right w:w="108" w:type="dxa"/>
            </w:tcMar>
          </w:tcPr>
          <w:p w14:paraId="065CAC6C" w14:textId="3FFF09BB" w:rsidR="112C7E4E" w:rsidRDefault="112C7E4E" w:rsidP="112C7E4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F6834F8">
              <w:rPr>
                <w:rFonts w:ascii="Arial" w:eastAsia="Arial" w:hAnsi="Arial" w:cs="Arial"/>
                <w:sz w:val="24"/>
                <w:szCs w:val="24"/>
              </w:rPr>
              <w:t xml:space="preserve"> Reasons for Addition</w:t>
            </w:r>
          </w:p>
        </w:tc>
      </w:tr>
      <w:tr w:rsidR="112C7E4E" w14:paraId="0AE59E05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560E84" w14:textId="5499836B" w:rsidR="112C7E4E" w:rsidRDefault="1B14BCEA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sz w:val="20"/>
                <w:szCs w:val="20"/>
              </w:rPr>
              <w:t>Fees &amp; Charges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5F08E" w14:textId="0AD74B14" w:rsidR="1B14BCEA" w:rsidRDefault="1B14BCEA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16C7B9D5">
              <w:rPr>
                <w:rFonts w:ascii="Arial" w:eastAsia="Arial" w:hAnsi="Arial" w:cs="Arial"/>
                <w:sz w:val="20"/>
                <w:szCs w:val="20"/>
              </w:rPr>
              <w:t>Assurance that cha</w:t>
            </w:r>
            <w:r w:rsidR="00E9317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16C7B9D5">
              <w:rPr>
                <w:rFonts w:ascii="Arial" w:eastAsia="Arial" w:hAnsi="Arial" w:cs="Arial"/>
                <w:sz w:val="20"/>
                <w:szCs w:val="20"/>
              </w:rPr>
              <w:t>ges made are accurate</w:t>
            </w:r>
          </w:p>
        </w:tc>
      </w:tr>
      <w:tr w:rsidR="00E0073F" w14:paraId="2CD28441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B7187" w14:textId="59DEFD3F" w:rsidR="00E0073F" w:rsidRPr="16C7B9D5" w:rsidRDefault="008C76FE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Employee </w:t>
            </w:r>
            <w:r w:rsidR="00E0073F">
              <w:rPr>
                <w:rFonts w:ascii="Arial" w:eastAsia="Arial" w:hAnsi="Arial" w:cs="Arial"/>
                <w:sz w:val="20"/>
                <w:szCs w:val="20"/>
              </w:rPr>
              <w:t>Expenses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5F01BD" w14:textId="1F7DF88A" w:rsidR="00E0073F" w:rsidRPr="16C7B9D5" w:rsidRDefault="00E0073F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Assurance that</w:t>
            </w:r>
            <w:r w:rsidR="008C76FE">
              <w:rPr>
                <w:rFonts w:ascii="Arial" w:eastAsia="Arial" w:hAnsi="Arial" w:cs="Arial"/>
                <w:sz w:val="20"/>
                <w:szCs w:val="20"/>
              </w:rPr>
              <w:t xml:space="preserve"> these are in accordance with the policy</w:t>
            </w:r>
          </w:p>
        </w:tc>
      </w:tr>
      <w:tr w:rsidR="001F298A" w14:paraId="16AE8505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EE8980" w14:textId="3EB4890B" w:rsidR="001F298A" w:rsidRPr="16C7B9D5" w:rsidRDefault="001F298A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HBPL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DD62E" w14:textId="52297AA6" w:rsidR="001F298A" w:rsidRPr="16C7B9D5" w:rsidRDefault="00A47BFF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Management assurance</w:t>
            </w:r>
          </w:p>
        </w:tc>
      </w:tr>
      <w:tr w:rsidR="00F11FFF" w14:paraId="6E872889" w14:textId="77777777" w:rsidTr="7504B469">
        <w:trPr>
          <w:trHeight w:val="300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3CB21" w14:textId="4820AEF4" w:rsidR="00F11FFF" w:rsidRDefault="00F11FFF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Highways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E46F1A" w14:textId="70E4370B" w:rsidR="00F11FFF" w:rsidRDefault="001B2189" w:rsidP="112C7E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assess current assurance</w:t>
            </w:r>
          </w:p>
        </w:tc>
      </w:tr>
    </w:tbl>
    <w:p w14:paraId="22851D4E" w14:textId="1EB234F7" w:rsidR="001B4AA8" w:rsidRDefault="0093333B" w:rsidP="6D536EC0">
      <w:pPr>
        <w:spacing w:after="0" w:line="240" w:lineRule="auto"/>
        <w:ind w:left="864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      </w:t>
      </w:r>
      <w:r w:rsidR="4B5CD3FA" w:rsidRPr="6D536EC0">
        <w:rPr>
          <w:rFonts w:ascii="Arial" w:eastAsia="Arial" w:hAnsi="Arial" w:cs="Arial"/>
          <w:color w:val="000000" w:themeColor="text1"/>
          <w:sz w:val="16"/>
          <w:szCs w:val="16"/>
        </w:rPr>
        <w:t>Table 2</w:t>
      </w:r>
    </w:p>
    <w:p w14:paraId="4CB91878" w14:textId="77777777" w:rsidR="0093333B" w:rsidRDefault="0093333B" w:rsidP="6D536EC0">
      <w:pPr>
        <w:spacing w:after="0" w:line="240" w:lineRule="auto"/>
        <w:ind w:left="864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40C17BB" w14:textId="77777777" w:rsidR="0093333B" w:rsidRPr="00433789" w:rsidRDefault="0093333B" w:rsidP="6D536EC0">
      <w:pPr>
        <w:spacing w:after="0" w:line="240" w:lineRule="auto"/>
        <w:ind w:left="864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9D04872" w14:textId="5FA8E6ED" w:rsidR="00026331" w:rsidRPr="00026331" w:rsidRDefault="77CDE489" w:rsidP="00026331">
      <w:pPr>
        <w:shd w:val="clear" w:color="auto" w:fill="17365D" w:themeFill="text2" w:themeFillShade="BF"/>
        <w:tabs>
          <w:tab w:val="right" w:pos="10155"/>
        </w:tabs>
        <w:spacing w:after="0" w:line="240" w:lineRule="auto"/>
        <w:ind w:right="-90"/>
        <w:rPr>
          <w:rFonts w:ascii="Arial" w:eastAsia="+mj-ea" w:hAnsi="Arial" w:cs="+mj-cs"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</w:pPr>
      <w:bookmarkStart w:id="4" w:name="_Hlk153809475"/>
      <w:r w:rsidRPr="112C7E4E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  <w:proofErr w:type="gramStart"/>
      <w:r w:rsidR="001774A9" w:rsidRPr="112C7E4E">
        <w:rPr>
          <w:rFonts w:ascii="Arial" w:hAnsi="Arial" w:cs="Arial"/>
          <w:color w:val="FFFFFF" w:themeColor="background1"/>
          <w:sz w:val="32"/>
          <w:szCs w:val="32"/>
        </w:rPr>
        <w:t>3.</w:t>
      </w:r>
      <w:r w:rsidR="001774A9">
        <w:rPr>
          <w:rFonts w:ascii="Arial" w:hAnsi="Arial" w:cs="Arial"/>
          <w:color w:val="FFFFFF" w:themeColor="background1"/>
          <w:sz w:val="32"/>
          <w:szCs w:val="32"/>
        </w:rPr>
        <w:t>1</w:t>
      </w:r>
      <w:r w:rsidR="001774A9" w:rsidRPr="112C7E4E">
        <w:rPr>
          <w:rFonts w:ascii="Arial" w:hAnsi="Arial" w:cs="Arial"/>
          <w:color w:val="FFFFFF" w:themeColor="background1"/>
          <w:sz w:val="32"/>
          <w:szCs w:val="32"/>
        </w:rPr>
        <w:t xml:space="preserve">  </w:t>
      </w:r>
      <w:r w:rsidR="001774A9" w:rsidRPr="112C7E4E">
        <w:rPr>
          <w:rFonts w:ascii="Arial" w:eastAsia="+mj-ea" w:hAnsi="Arial" w:cs="+mj-cs"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Progress</w:t>
      </w:r>
      <w:proofErr w:type="gramEnd"/>
      <w:r w:rsidR="001774A9" w:rsidRPr="112C7E4E">
        <w:rPr>
          <w:rFonts w:ascii="Arial" w:eastAsia="+mj-ea" w:hAnsi="Arial" w:cs="+mj-cs"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 against 2023/24 Annual Plan at </w:t>
      </w:r>
      <w:r w:rsidR="00AE10B6">
        <w:rPr>
          <w:rFonts w:ascii="Arial" w:eastAsia="+mj-ea" w:hAnsi="Arial" w:cs="+mj-cs"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29 February 2024</w:t>
      </w:r>
      <w:r w:rsidR="00026331">
        <w:rPr>
          <w:rFonts w:ascii="Arial" w:eastAsia="+mj-ea" w:hAnsi="Arial" w:cs="+mj-cs"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ab/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3"/>
        <w:gridCol w:w="766"/>
        <w:gridCol w:w="57"/>
        <w:gridCol w:w="709"/>
        <w:gridCol w:w="851"/>
        <w:gridCol w:w="709"/>
        <w:gridCol w:w="711"/>
        <w:gridCol w:w="1630"/>
      </w:tblGrid>
      <w:tr w:rsidR="00986F1E" w:rsidRPr="00272A16" w14:paraId="42531A2C" w14:textId="77777777" w:rsidTr="156A7A8D">
        <w:trPr>
          <w:trHeight w:val="20"/>
        </w:trPr>
        <w:tc>
          <w:tcPr>
            <w:tcW w:w="4773" w:type="dxa"/>
            <w:vMerge w:val="restart"/>
            <w:shd w:val="clear" w:color="auto" w:fill="17365D" w:themeFill="text2" w:themeFillShade="BF"/>
          </w:tcPr>
          <w:bookmarkEnd w:id="4"/>
          <w:p w14:paraId="067289CD" w14:textId="77777777" w:rsidR="00986F1E" w:rsidRPr="00272A16" w:rsidRDefault="00986F1E" w:rsidP="00FA2B65">
            <w:pPr>
              <w:spacing w:after="0" w:line="240" w:lineRule="auto"/>
              <w:ind w:left="3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A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Review</w:t>
            </w:r>
          </w:p>
        </w:tc>
        <w:tc>
          <w:tcPr>
            <w:tcW w:w="1532" w:type="dxa"/>
            <w:gridSpan w:val="3"/>
            <w:vMerge w:val="restart"/>
            <w:shd w:val="clear" w:color="auto" w:fill="17365D" w:themeFill="text2" w:themeFillShade="BF"/>
          </w:tcPr>
          <w:p w14:paraId="731D3957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A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Assurance Rating</w:t>
            </w:r>
          </w:p>
        </w:tc>
        <w:tc>
          <w:tcPr>
            <w:tcW w:w="2271" w:type="dxa"/>
            <w:gridSpan w:val="3"/>
            <w:shd w:val="clear" w:color="auto" w:fill="17365D" w:themeFill="text2" w:themeFillShade="BF"/>
          </w:tcPr>
          <w:p w14:paraId="432DB47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A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of Recommendations</w:t>
            </w:r>
          </w:p>
        </w:tc>
        <w:tc>
          <w:tcPr>
            <w:tcW w:w="1630" w:type="dxa"/>
            <w:vMerge w:val="restart"/>
            <w:shd w:val="clear" w:color="auto" w:fill="17365D" w:themeFill="text2" w:themeFillShade="BF"/>
          </w:tcPr>
          <w:p w14:paraId="4B70D2C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A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986F1E" w:rsidRPr="00272A16" w14:paraId="7026C434" w14:textId="77777777" w:rsidTr="156A7A8D">
        <w:trPr>
          <w:trHeight w:val="20"/>
        </w:trPr>
        <w:tc>
          <w:tcPr>
            <w:tcW w:w="4773" w:type="dxa"/>
            <w:vMerge/>
          </w:tcPr>
          <w:p w14:paraId="091FE9D2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</w:tcPr>
          <w:p w14:paraId="2859DCFB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1A7F4BCC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A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14:paraId="208B96F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A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711" w:type="dxa"/>
            <w:shd w:val="clear" w:color="auto" w:fill="17365D" w:themeFill="text2" w:themeFillShade="BF"/>
          </w:tcPr>
          <w:p w14:paraId="262A807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2A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630" w:type="dxa"/>
            <w:vMerge/>
          </w:tcPr>
          <w:p w14:paraId="478FBBDC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86F1E" w:rsidRPr="00272A16" w14:paraId="69F6C0BC" w14:textId="77777777" w:rsidTr="156A7A8D">
        <w:trPr>
          <w:trHeight w:val="20"/>
        </w:trPr>
        <w:tc>
          <w:tcPr>
            <w:tcW w:w="8576" w:type="dxa"/>
            <w:gridSpan w:val="7"/>
            <w:shd w:val="clear" w:color="auto" w:fill="95B3D7" w:themeFill="accent1" w:themeFillTint="99"/>
          </w:tcPr>
          <w:p w14:paraId="1A420491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Corporate Risk Based/Governance Reviews</w:t>
            </w:r>
          </w:p>
        </w:tc>
        <w:tc>
          <w:tcPr>
            <w:tcW w:w="1630" w:type="dxa"/>
            <w:shd w:val="clear" w:color="auto" w:fill="95B3D7" w:themeFill="accent1" w:themeFillTint="99"/>
          </w:tcPr>
          <w:p w14:paraId="71B5E3F2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6E12" w:rsidRPr="00272A16" w14:paraId="7FACF268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4CD605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Corporate Governance Assurance (AGS)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BB62F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0A62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83DD46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C8080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A7F9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986F1E" w:rsidRPr="00272A16" w14:paraId="7BDDE4DD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28DC6EFA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Asset Management Assurance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9A359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06308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817D7E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0B836AB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6162D8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6F1E" w:rsidRPr="00272A16" w14:paraId="677D1B14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0AA1FB68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Management Assurance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3687D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0632B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D5BBF5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8986611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9907FA0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6F1E" w:rsidRPr="00272A16" w14:paraId="456A3D9A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4584B511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Resources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232F1C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D3082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ECCF34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4D5F493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F14A0D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6F1E" w:rsidRPr="00272A16" w14:paraId="110409CE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17CA2852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&amp; Data Management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79906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A6A01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5904F9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020A44B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F4B90E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6F1E" w:rsidRPr="00272A16" w14:paraId="10F39393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62F8D1C4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Management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94334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810EC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20C13B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3A1E594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4F11D07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6F1E" w:rsidRPr="00272A16" w14:paraId="506D8A66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6B7135CF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Programme &amp; Project Management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2A240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B44A7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990302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415267E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A725D2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1362" w:rsidRPr="00272A16" w14:paraId="4BBD668B" w14:textId="77777777" w:rsidTr="00D73811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35EC608D" w14:textId="00E7106F" w:rsidR="006D1362" w:rsidRPr="00272A16" w:rsidRDefault="006D1362" w:rsidP="006D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 Us Once/Legacy Systems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4840C269" w14:textId="77777777" w:rsidR="006D1362" w:rsidRPr="00272A16" w:rsidRDefault="006D1362" w:rsidP="006D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6F1108" w14:textId="3B6E2161" w:rsidR="006D1362" w:rsidRPr="00272A16" w:rsidRDefault="006D1362" w:rsidP="006D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ED4668" w14:textId="0B0362C8" w:rsidR="006D1362" w:rsidRPr="00272A16" w:rsidRDefault="006D1362" w:rsidP="006D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7BB2F033" w14:textId="1BF137C0" w:rsidR="006D1362" w:rsidRPr="00272A16" w:rsidRDefault="006D1362" w:rsidP="006D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1AB5CE70" w14:textId="0FF470DB" w:rsidR="006D1362" w:rsidRPr="00272A16" w:rsidRDefault="006D1362" w:rsidP="006D1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986F1E" w:rsidRPr="00272A16" w14:paraId="3F947A20" w14:textId="77777777" w:rsidTr="00D73811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156338FC" w14:textId="752DD8CA" w:rsidR="00986F1E" w:rsidRPr="00272A16" w:rsidRDefault="00D73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Fees &amp; Charges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DCB6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C1F10F" w14:textId="0F475ED1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49ABD5" w14:textId="1B5E64A2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051ECFB" w14:textId="5D4AD872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1FD5AE3" w14:textId="42A4A5B9" w:rsidR="00986F1E" w:rsidRPr="00272A16" w:rsidRDefault="00D73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WiP</w:t>
            </w:r>
            <w:proofErr w:type="spellEnd"/>
          </w:p>
        </w:tc>
      </w:tr>
      <w:tr w:rsidR="00986F1E" w:rsidRPr="00272A16" w14:paraId="6CDE411A" w14:textId="77777777" w:rsidTr="156A7A8D">
        <w:trPr>
          <w:trHeight w:val="20"/>
        </w:trPr>
        <w:tc>
          <w:tcPr>
            <w:tcW w:w="8576" w:type="dxa"/>
            <w:gridSpan w:val="7"/>
            <w:shd w:val="clear" w:color="auto" w:fill="95B3D7" w:themeFill="accent1" w:themeFillTint="99"/>
          </w:tcPr>
          <w:p w14:paraId="3E1DF84A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16">
              <w:rPr>
                <w:rFonts w:ascii="Arial" w:hAnsi="Arial" w:cs="Arial"/>
                <w:b/>
                <w:bCs/>
                <w:sz w:val="20"/>
                <w:szCs w:val="20"/>
              </w:rPr>
              <w:t>Core Financial Systems (2023/24)</w:t>
            </w:r>
          </w:p>
        </w:tc>
        <w:tc>
          <w:tcPr>
            <w:tcW w:w="1630" w:type="dxa"/>
            <w:shd w:val="clear" w:color="auto" w:fill="95B3D7" w:themeFill="accent1" w:themeFillTint="99"/>
          </w:tcPr>
          <w:p w14:paraId="1ECB007B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F1E" w:rsidRPr="00272A16" w14:paraId="6B6141E3" w14:textId="77777777" w:rsidTr="156A7A8D">
        <w:trPr>
          <w:trHeight w:val="20"/>
        </w:trPr>
        <w:tc>
          <w:tcPr>
            <w:tcW w:w="4773" w:type="dxa"/>
          </w:tcPr>
          <w:p w14:paraId="25747B28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_Hlk153796314"/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Business Rates</w:t>
            </w:r>
          </w:p>
        </w:tc>
        <w:tc>
          <w:tcPr>
            <w:tcW w:w="823" w:type="dxa"/>
            <w:gridSpan w:val="2"/>
            <w:shd w:val="clear" w:color="auto" w:fill="FFC000"/>
          </w:tcPr>
          <w:p w14:paraId="00A578F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671F320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CE8E7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3BFCF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4D65519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42F92730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bookmarkEnd w:id="5"/>
      <w:tr w:rsidR="00986F1E" w:rsidRPr="00272A16" w14:paraId="5456CA0E" w14:textId="77777777" w:rsidTr="156A7A8D">
        <w:trPr>
          <w:trHeight w:val="20"/>
        </w:trPr>
        <w:tc>
          <w:tcPr>
            <w:tcW w:w="4773" w:type="dxa"/>
          </w:tcPr>
          <w:p w14:paraId="0D299F6C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Capital Expenditure</w:t>
            </w:r>
          </w:p>
        </w:tc>
        <w:tc>
          <w:tcPr>
            <w:tcW w:w="1532" w:type="dxa"/>
            <w:gridSpan w:val="3"/>
            <w:shd w:val="clear" w:color="auto" w:fill="00B050"/>
          </w:tcPr>
          <w:p w14:paraId="10D5B2C0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37324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90FFB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EB02B8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7782146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0884D0DC" w14:textId="77777777" w:rsidTr="156A7A8D">
        <w:trPr>
          <w:trHeight w:val="20"/>
        </w:trPr>
        <w:tc>
          <w:tcPr>
            <w:tcW w:w="4773" w:type="dxa"/>
          </w:tcPr>
          <w:p w14:paraId="20924BF0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Treasury Management                                        </w:t>
            </w:r>
          </w:p>
        </w:tc>
        <w:tc>
          <w:tcPr>
            <w:tcW w:w="1532" w:type="dxa"/>
            <w:gridSpan w:val="3"/>
            <w:shd w:val="clear" w:color="auto" w:fill="00B050"/>
          </w:tcPr>
          <w:p w14:paraId="2777E94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3D911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F373E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8B20AE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715943A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24C44315" w14:textId="77777777" w:rsidTr="156A7A8D">
        <w:trPr>
          <w:trHeight w:val="20"/>
        </w:trPr>
        <w:tc>
          <w:tcPr>
            <w:tcW w:w="4773" w:type="dxa"/>
          </w:tcPr>
          <w:p w14:paraId="6A4D3926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Housing Rents </w:t>
            </w:r>
          </w:p>
        </w:tc>
        <w:tc>
          <w:tcPr>
            <w:tcW w:w="823" w:type="dxa"/>
            <w:gridSpan w:val="2"/>
            <w:shd w:val="clear" w:color="auto" w:fill="FFC000"/>
          </w:tcPr>
          <w:p w14:paraId="2F964D9C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342C153E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37AE8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2E99E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47D3033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0530309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158A4F07" w14:textId="77777777" w:rsidTr="156A7A8D">
        <w:trPr>
          <w:trHeight w:val="20"/>
        </w:trPr>
        <w:tc>
          <w:tcPr>
            <w:tcW w:w="4773" w:type="dxa"/>
          </w:tcPr>
          <w:p w14:paraId="184E41A4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Housing Benefit         </w:t>
            </w:r>
          </w:p>
        </w:tc>
        <w:tc>
          <w:tcPr>
            <w:tcW w:w="1532" w:type="dxa"/>
            <w:gridSpan w:val="3"/>
            <w:shd w:val="clear" w:color="auto" w:fill="00B050"/>
          </w:tcPr>
          <w:p w14:paraId="0D38EF3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3E0B7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4B939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5694E17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03E57A1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0BE3DEE5" w14:textId="77777777" w:rsidTr="156A7A8D">
        <w:trPr>
          <w:trHeight w:val="20"/>
        </w:trPr>
        <w:tc>
          <w:tcPr>
            <w:tcW w:w="4773" w:type="dxa"/>
          </w:tcPr>
          <w:p w14:paraId="760684A0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Corporate Accounts Receivable </w:t>
            </w:r>
          </w:p>
        </w:tc>
        <w:tc>
          <w:tcPr>
            <w:tcW w:w="823" w:type="dxa"/>
            <w:gridSpan w:val="2"/>
            <w:shd w:val="clear" w:color="auto" w:fill="FFC000"/>
          </w:tcPr>
          <w:p w14:paraId="731ADA1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682DC12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58E24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EE364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37A441B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14:paraId="337ADFA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775B24E5" w14:textId="77777777" w:rsidTr="156A7A8D">
        <w:trPr>
          <w:trHeight w:val="20"/>
        </w:trPr>
        <w:tc>
          <w:tcPr>
            <w:tcW w:w="4773" w:type="dxa"/>
          </w:tcPr>
          <w:p w14:paraId="3FEAB203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Corporate Accounts Payable </w:t>
            </w:r>
          </w:p>
        </w:tc>
        <w:tc>
          <w:tcPr>
            <w:tcW w:w="823" w:type="dxa"/>
            <w:gridSpan w:val="2"/>
            <w:shd w:val="clear" w:color="auto" w:fill="FFC000"/>
          </w:tcPr>
          <w:p w14:paraId="29BBE71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289E556C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3FDCC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06E37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0151262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2131321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17A5DB62" w14:textId="77777777" w:rsidTr="156A7A8D">
        <w:trPr>
          <w:trHeight w:val="20"/>
        </w:trPr>
        <w:tc>
          <w:tcPr>
            <w:tcW w:w="4773" w:type="dxa"/>
          </w:tcPr>
          <w:p w14:paraId="7EA365A7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Payroll </w:t>
            </w:r>
          </w:p>
        </w:tc>
        <w:tc>
          <w:tcPr>
            <w:tcW w:w="1532" w:type="dxa"/>
            <w:gridSpan w:val="3"/>
            <w:shd w:val="clear" w:color="auto" w:fill="00B050"/>
          </w:tcPr>
          <w:p w14:paraId="5D7FB50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507CA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CBB5F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3118D2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33607CF0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658D9D03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50DDEA0F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Council Tax </w:t>
            </w:r>
          </w:p>
        </w:tc>
        <w:tc>
          <w:tcPr>
            <w:tcW w:w="823" w:type="dxa"/>
            <w:gridSpan w:val="2"/>
            <w:shd w:val="clear" w:color="auto" w:fill="FFC000"/>
          </w:tcPr>
          <w:p w14:paraId="6C6928C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194E2047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539107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2A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938B84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2A1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14:paraId="70029E4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2A1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30" w:type="dxa"/>
          </w:tcPr>
          <w:p w14:paraId="2F803C1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6FFDB73A" w14:textId="77777777" w:rsidTr="156A7A8D">
        <w:trPr>
          <w:trHeight w:val="20"/>
        </w:trPr>
        <w:tc>
          <w:tcPr>
            <w:tcW w:w="857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4CD5C74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16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56071E1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F1E" w:rsidRPr="00272A16" w14:paraId="152681BB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736B1AE3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Loss of Social Care Data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F3692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16E72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AE63C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5360A3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53248F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Q4</w:t>
            </w:r>
          </w:p>
        </w:tc>
      </w:tr>
      <w:tr w:rsidR="00986F1E" w:rsidRPr="00272A16" w14:paraId="4DD8E4FD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014B8D6C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Legacy File Storage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7D1B5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8E8770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EEA6C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881315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F4F3CB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Q4</w:t>
            </w:r>
          </w:p>
        </w:tc>
      </w:tr>
      <w:tr w:rsidR="00986F1E" w:rsidRPr="00272A16" w14:paraId="1683D1F7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14D593DB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Audit Needs Assessment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95F92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83F04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A6E7C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217B34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244DA9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Q4</w:t>
            </w:r>
          </w:p>
        </w:tc>
      </w:tr>
      <w:tr w:rsidR="00986F1E" w:rsidRPr="00272A16" w14:paraId="791DE4B4" w14:textId="77777777" w:rsidTr="156A7A8D">
        <w:trPr>
          <w:trHeight w:val="20"/>
        </w:trPr>
        <w:tc>
          <w:tcPr>
            <w:tcW w:w="857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A1AC027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272A1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Resources &amp; Assurance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F4A86B0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1C6D" w:rsidRPr="00272A16" w14:paraId="0953EA9C" w14:textId="77777777" w:rsidTr="001335AC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0ADBB445" w14:textId="77777777" w:rsidR="00B21C6D" w:rsidRPr="00272A16" w:rsidRDefault="00B21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Financial Resilience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C000"/>
          </w:tcPr>
          <w:p w14:paraId="6498374B" w14:textId="77777777" w:rsidR="00B21C6D" w:rsidRPr="00272A16" w:rsidRDefault="00B2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99F7DAE" w14:textId="09DC543C" w:rsidR="00B21C6D" w:rsidRPr="00272A16" w:rsidRDefault="00B2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A5420B" w14:textId="77777777" w:rsidR="00B21C6D" w:rsidRPr="00272A16" w:rsidRDefault="00B21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E384EC" w14:textId="77777777" w:rsidR="00B21C6D" w:rsidRPr="00272A16" w:rsidRDefault="00B21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F6F4545" w14:textId="77777777" w:rsidR="00B21C6D" w:rsidRPr="00272A16" w:rsidRDefault="00B21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C16BDE" w14:textId="77777777" w:rsidR="00B21C6D" w:rsidRPr="00272A16" w:rsidRDefault="00B21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Draft Report</w:t>
            </w:r>
          </w:p>
        </w:tc>
      </w:tr>
      <w:tr w:rsidR="00986F1E" w:rsidRPr="00272A16" w14:paraId="6FC02A67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735C16AB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HR Policies (Evaluations &amp; Honorariums)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2EDEA09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C2E40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8B26BA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5FD7FB3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14:paraId="7BCC82B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636ECF" w:rsidRPr="00272A16" w14:paraId="12AF78DE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395D4A3F" w14:textId="1EE22F81" w:rsidR="00636ECF" w:rsidRPr="00272A16" w:rsidRDefault="00BD2E8B" w:rsidP="00D738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Employee </w:t>
            </w:r>
            <w:r w:rsidR="00636E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penses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4AF6175F" w14:textId="77777777" w:rsidR="00636ECF" w:rsidRPr="00272A16" w:rsidRDefault="00636ECF" w:rsidP="00D73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EB7219" w14:textId="77777777" w:rsidR="00636ECF" w:rsidRPr="00272A16" w:rsidRDefault="00636ECF" w:rsidP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851A13" w14:textId="77777777" w:rsidR="00636ECF" w:rsidRPr="00272A16" w:rsidRDefault="00636ECF" w:rsidP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9462173" w14:textId="77777777" w:rsidR="00636ECF" w:rsidRPr="00272A16" w:rsidRDefault="00636ECF" w:rsidP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27DE462" w14:textId="07E85FBC" w:rsidR="00636ECF" w:rsidRPr="00272A16" w:rsidRDefault="00BD2E8B" w:rsidP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</w:t>
            </w:r>
          </w:p>
        </w:tc>
      </w:tr>
      <w:tr w:rsidR="00475619" w:rsidRPr="00272A16" w14:paraId="2CC40B9B" w14:textId="77777777" w:rsidTr="00475619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1417E2A1" w14:textId="69B9E653" w:rsidR="00475619" w:rsidRPr="00272A16" w:rsidRDefault="004756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HBPL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35E0484" w14:textId="77777777" w:rsidR="00475619" w:rsidRPr="00272A16" w:rsidRDefault="0047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E02779" w14:textId="77777777" w:rsidR="00475619" w:rsidRPr="00272A16" w:rsidRDefault="004756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573FF9" w14:textId="77777777" w:rsidR="00475619" w:rsidRPr="00272A16" w:rsidRDefault="004756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03E0668" w14:textId="77777777" w:rsidR="00475619" w:rsidRPr="00272A16" w:rsidRDefault="004756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6887A2E" w14:textId="72EDC072" w:rsidR="00475619" w:rsidRPr="00272A16" w:rsidRDefault="00BD2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WiP</w:t>
            </w:r>
            <w:proofErr w:type="spellEnd"/>
          </w:p>
        </w:tc>
      </w:tr>
      <w:tr w:rsidR="00986F1E" w:rsidRPr="00272A16" w14:paraId="69B9433E" w14:textId="77777777" w:rsidTr="156A7A8D">
        <w:trPr>
          <w:trHeight w:val="20"/>
        </w:trPr>
        <w:tc>
          <w:tcPr>
            <w:tcW w:w="8576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A27B5F8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Place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07CAB03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6F1E" w:rsidRPr="00272A16" w14:paraId="5BA5AD1E" w14:textId="77777777" w:rsidTr="001335AC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55815C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Facilities Management Statutory Compliance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0250661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6A2925" w14:textId="17E68A7A" w:rsidR="00986F1E" w:rsidRPr="00272A16" w:rsidRDefault="00F107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0B95CA4" w14:textId="025B2225" w:rsidR="00986F1E" w:rsidRPr="00272A16" w:rsidRDefault="00F107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2223D526" w14:textId="7D39A547" w:rsidR="00986F1E" w:rsidRPr="00272A16" w:rsidRDefault="00F107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53B4D6EA" w14:textId="41767297" w:rsidR="00986F1E" w:rsidRPr="00272A16" w:rsidRDefault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6EE40D6E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EF3721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HSDP/Council Owned Companies Governance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22E80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2BEB8C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F82AA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5885B5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B253EB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 xml:space="preserve">Cancelled </w:t>
            </w:r>
          </w:p>
        </w:tc>
      </w:tr>
      <w:tr w:rsidR="00986F1E" w:rsidRPr="00272A16" w14:paraId="24E21FA0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E42714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Housing Planned Investment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74BBF65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E5694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04995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487B828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454C8DA0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243067" w:rsidRPr="00272A16" w14:paraId="7F038EA9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3F134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Licensing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C000"/>
          </w:tcPr>
          <w:p w14:paraId="70A9149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18776E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E9C04E" w14:textId="3AE1C1FC" w:rsidR="00986F1E" w:rsidRPr="00272A16" w:rsidRDefault="00BD24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6834D3E" w14:textId="01DBB332" w:rsidR="00986F1E" w:rsidRPr="00272A16" w:rsidRDefault="00BD24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26374CB8" w14:textId="6476460D" w:rsidR="00986F1E" w:rsidRPr="00272A16" w:rsidRDefault="00BD24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3286F8CD" w14:textId="7816D029" w:rsidR="00986F1E" w:rsidRPr="00272A16" w:rsidRDefault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7599D83F" w14:textId="77777777" w:rsidTr="001335AC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4E075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Aids &amp; Adaptations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72A3B41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415437" w14:textId="14BF8D99" w:rsidR="00986F1E" w:rsidRPr="00272A16" w:rsidRDefault="00663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E4884BE" w14:textId="13A7D737" w:rsidR="00986F1E" w:rsidRPr="00272A16" w:rsidRDefault="00663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5F1940CB" w14:textId="28F8080A" w:rsidR="00986F1E" w:rsidRPr="00272A16" w:rsidRDefault="00663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14:paraId="66D7886E" w14:textId="1E3CB5C6" w:rsidR="00986F1E" w:rsidRPr="00272A16" w:rsidRDefault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4D726A" w:rsidRPr="00272A16" w14:paraId="2743EAB9" w14:textId="77777777" w:rsidTr="00E57780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0410F" w14:textId="6A4BD45E" w:rsidR="004D726A" w:rsidRPr="00272A16" w:rsidRDefault="004D7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Highways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12DC994B" w14:textId="77777777" w:rsidR="004D726A" w:rsidRPr="00272A16" w:rsidRDefault="004D7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F1989B" w14:textId="77777777" w:rsidR="004D726A" w:rsidRPr="00272A16" w:rsidRDefault="004D7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783B4A" w14:textId="77777777" w:rsidR="004D726A" w:rsidRPr="00272A16" w:rsidRDefault="004D7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D875C93" w14:textId="77777777" w:rsidR="004D726A" w:rsidRPr="00272A16" w:rsidRDefault="004D7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CF75350" w14:textId="0C2EF94B" w:rsidR="004D726A" w:rsidRDefault="004D7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WiP</w:t>
            </w:r>
            <w:proofErr w:type="spellEnd"/>
          </w:p>
        </w:tc>
      </w:tr>
      <w:tr w:rsidR="00556E12" w:rsidRPr="00272A16" w14:paraId="5B2F5A8E" w14:textId="77777777" w:rsidTr="156A7A8D">
        <w:trPr>
          <w:trHeight w:val="20"/>
        </w:trPr>
        <w:tc>
          <w:tcPr>
            <w:tcW w:w="4773" w:type="dxa"/>
            <w:shd w:val="clear" w:color="auto" w:fill="8DB3E2" w:themeFill="text2" w:themeFillTint="66"/>
          </w:tcPr>
          <w:p w14:paraId="7E52B922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A1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</w:tc>
        <w:tc>
          <w:tcPr>
            <w:tcW w:w="1532" w:type="dxa"/>
            <w:gridSpan w:val="3"/>
            <w:shd w:val="clear" w:color="auto" w:fill="8DB3E2" w:themeFill="text2" w:themeFillTint="66"/>
          </w:tcPr>
          <w:p w14:paraId="46955A97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6AC13BD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2212037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shd w:val="clear" w:color="auto" w:fill="8DB3E2" w:themeFill="text2" w:themeFillTint="66"/>
          </w:tcPr>
          <w:p w14:paraId="1BDD9C8C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  <w:shd w:val="clear" w:color="auto" w:fill="8DB3E2" w:themeFill="text2" w:themeFillTint="66"/>
          </w:tcPr>
          <w:p w14:paraId="1FCB740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86F1E" w:rsidRPr="00272A16" w14:paraId="7785092A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42B1D8E5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Children’s Placements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DAA4D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F2387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06D638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shd w:val="clear" w:color="auto" w:fill="auto"/>
          </w:tcPr>
          <w:p w14:paraId="5F902F9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0" w:type="dxa"/>
          </w:tcPr>
          <w:p w14:paraId="397FD11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Q4</w:t>
            </w:r>
          </w:p>
        </w:tc>
      </w:tr>
      <w:tr w:rsidR="00986F1E" w:rsidRPr="00272A16" w14:paraId="23F0FD99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45BD77BC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Safeguarding Team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A73B4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9A777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E644E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6ED698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CF6D25C" w14:textId="1F4FBAEB" w:rsidR="00986F1E" w:rsidRPr="00272A16" w:rsidRDefault="00AF4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</w:t>
            </w:r>
            <w:r w:rsidR="00986F1E" w:rsidRPr="00272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F1E" w:rsidRPr="00272A16" w14:paraId="68D9524A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6F3D98E4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Occupational Therapy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1F598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B9EC0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FAE0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5E4A10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F01885E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Q4</w:t>
            </w:r>
          </w:p>
        </w:tc>
      </w:tr>
      <w:tr w:rsidR="00986F1E" w:rsidRPr="00272A16" w14:paraId="784BFBD3" w14:textId="77777777" w:rsidTr="156A7A8D">
        <w:trPr>
          <w:trHeight w:val="20"/>
        </w:trPr>
        <w:tc>
          <w:tcPr>
            <w:tcW w:w="10206" w:type="dxa"/>
            <w:gridSpan w:val="8"/>
            <w:shd w:val="clear" w:color="auto" w:fill="8DB3E2" w:themeFill="text2" w:themeFillTint="66"/>
          </w:tcPr>
          <w:p w14:paraId="7436E068" w14:textId="77777777" w:rsidR="00986F1E" w:rsidRPr="00272A16" w:rsidRDefault="00986F1E" w:rsidP="156A7A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153797109"/>
            <w:r w:rsidRPr="156A7A8D">
              <w:rPr>
                <w:rFonts w:ascii="Arial" w:hAnsi="Arial" w:cs="Arial"/>
                <w:b/>
                <w:bCs/>
                <w:sz w:val="20"/>
                <w:szCs w:val="20"/>
              </w:rPr>
              <w:t>Schools</w:t>
            </w:r>
          </w:p>
        </w:tc>
      </w:tr>
      <w:bookmarkEnd w:id="6"/>
      <w:tr w:rsidR="00986F1E" w:rsidRPr="00272A16" w14:paraId="2555D225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1608CC36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Glebe Primary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8EDF2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13A31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64DE4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AB1499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E60742E" w14:textId="6A65B84D" w:rsidR="00986F1E" w:rsidRPr="00272A16" w:rsidRDefault="00452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WiP</w:t>
            </w:r>
            <w:proofErr w:type="spellEnd"/>
          </w:p>
        </w:tc>
      </w:tr>
      <w:tr w:rsidR="00986F1E" w:rsidRPr="00272A16" w14:paraId="2F3645F7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686B8937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Marlborough Primary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7BF08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C733F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20C100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9990C8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F829260" w14:textId="7E564E3F" w:rsidR="00986F1E" w:rsidRPr="00272A16" w:rsidRDefault="00452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hold</w:t>
            </w:r>
          </w:p>
        </w:tc>
      </w:tr>
      <w:tr w:rsidR="003410AB" w:rsidRPr="00272A16" w14:paraId="1D2EFB76" w14:textId="77777777" w:rsidTr="001335AC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5026ED72" w14:textId="77777777" w:rsidR="003410AB" w:rsidRPr="00272A16" w:rsidRDefault="0034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Weald Rise Primary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C000"/>
          </w:tcPr>
          <w:p w14:paraId="213A1058" w14:textId="77777777" w:rsidR="003410AB" w:rsidRPr="00272A16" w:rsidRDefault="0034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0700AA8" w14:textId="16D26A05" w:rsidR="003410AB" w:rsidRPr="00272A16" w:rsidRDefault="0034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557325" w14:textId="77777777" w:rsidR="003410AB" w:rsidRPr="00272A16" w:rsidRDefault="003410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2F416A" w14:textId="77777777" w:rsidR="003410AB" w:rsidRPr="00272A16" w:rsidRDefault="003410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1ED3ED3" w14:textId="77777777" w:rsidR="003410AB" w:rsidRPr="00272A16" w:rsidRDefault="003410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58FEACA" w14:textId="7E82E930" w:rsidR="003410AB" w:rsidRPr="00272A16" w:rsidRDefault="00601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DD59BA" w:rsidRPr="00272A16" w14:paraId="40B7CC95" w14:textId="77777777" w:rsidTr="001335AC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2E719A8F" w14:textId="77777777" w:rsidR="00DD59BA" w:rsidRPr="00272A16" w:rsidRDefault="00DD5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Shaftesbury High School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C000"/>
          </w:tcPr>
          <w:p w14:paraId="1A5ACE1B" w14:textId="77777777" w:rsidR="00DD59BA" w:rsidRPr="00272A16" w:rsidRDefault="00DD5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57433EBB" w14:textId="08FE2EEC" w:rsidR="00DD59BA" w:rsidRPr="00272A16" w:rsidRDefault="00DD5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CA8385" w14:textId="77777777" w:rsidR="00DD59BA" w:rsidRPr="00272A16" w:rsidRDefault="00DD5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245B42" w14:textId="77777777" w:rsidR="00DD59BA" w:rsidRPr="00272A16" w:rsidRDefault="00DD5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2CDD9EF" w14:textId="77777777" w:rsidR="00DD59BA" w:rsidRPr="00272A16" w:rsidRDefault="00DD5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E2E491E" w14:textId="7F7566CF" w:rsidR="00DD59BA" w:rsidRPr="00272A16" w:rsidRDefault="00601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7ECF70EF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663041F3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 John’s C of E School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EEE9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F4764B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6AE7B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14975A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A34989B" w14:textId="68221EE9" w:rsidR="00986F1E" w:rsidRPr="00272A16" w:rsidRDefault="00D73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WiP</w:t>
            </w:r>
            <w:proofErr w:type="spellEnd"/>
          </w:p>
        </w:tc>
      </w:tr>
      <w:tr w:rsidR="00986F1E" w:rsidRPr="00272A16" w14:paraId="01367D1B" w14:textId="77777777" w:rsidTr="156A7A8D">
        <w:trPr>
          <w:trHeight w:val="20"/>
        </w:trPr>
        <w:tc>
          <w:tcPr>
            <w:tcW w:w="10206" w:type="dxa"/>
            <w:gridSpan w:val="8"/>
            <w:shd w:val="clear" w:color="auto" w:fill="8DB3E2" w:themeFill="text2" w:themeFillTint="66"/>
          </w:tcPr>
          <w:p w14:paraId="772C7FF9" w14:textId="77777777" w:rsidR="00986F1E" w:rsidRPr="00272A16" w:rsidRDefault="00986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A16">
              <w:rPr>
                <w:rFonts w:ascii="Arial" w:hAnsi="Arial" w:cs="Arial"/>
                <w:b/>
                <w:sz w:val="20"/>
                <w:szCs w:val="20"/>
              </w:rPr>
              <w:t>Grant Assurance</w:t>
            </w:r>
          </w:p>
        </w:tc>
      </w:tr>
      <w:tr w:rsidR="00986F1E" w:rsidRPr="00272A16" w14:paraId="4E7ED8D9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226A1BD9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Together with Families Grant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B1FA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34BA74D8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21478D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7C2D83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8ECC644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64753DDA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</w:tcPr>
          <w:p w14:paraId="7351D4DF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SVFS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60594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7C4D28B1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1F07D6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C7C6832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BB61CA3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986F1E" w:rsidRPr="00272A16" w14:paraId="5EFFA438" w14:textId="77777777" w:rsidTr="156A7A8D">
        <w:trPr>
          <w:trHeight w:val="20"/>
        </w:trPr>
        <w:tc>
          <w:tcPr>
            <w:tcW w:w="47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2CD95" w14:textId="77777777" w:rsidR="00986F1E" w:rsidRPr="00272A16" w:rsidRDefault="009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Bus Subsidy Grant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258A7F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A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1" w:type="dxa"/>
            <w:shd w:val="clear" w:color="auto" w:fill="auto"/>
          </w:tcPr>
          <w:p w14:paraId="653EFAE9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2C9AA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6356D95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B9A51A" w14:textId="77777777" w:rsidR="00986F1E" w:rsidRPr="00272A16" w:rsidRDefault="00986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</w:tbl>
    <w:p w14:paraId="0142E19F" w14:textId="5E29CC81" w:rsidR="00EE59CD" w:rsidRDefault="304B6437" w:rsidP="007C3BFB">
      <w:pPr>
        <w:spacing w:after="0" w:line="240" w:lineRule="auto"/>
        <w:rPr>
          <w:rFonts w:ascii="Arial" w:eastAsia="+mn-ea" w:hAnsi="Arial" w:cs="Arial"/>
          <w:color w:val="000000"/>
          <w:kern w:val="24"/>
          <w:sz w:val="16"/>
          <w:szCs w:val="16"/>
          <w:lang w:eastAsia="en-GB"/>
        </w:rPr>
      </w:pPr>
      <w:r w:rsidRPr="112C7E4E">
        <w:rPr>
          <w:rFonts w:ascii="Arial" w:eastAsia="+mn-ea" w:hAnsi="Arial" w:cs="Arial"/>
          <w:color w:val="000000" w:themeColor="text1"/>
          <w:sz w:val="24"/>
          <w:szCs w:val="24"/>
          <w:lang w:eastAsia="en-GB"/>
        </w:rPr>
        <w:t xml:space="preserve">    </w:t>
      </w:r>
      <w:r w:rsidRPr="6D536EC0">
        <w:rPr>
          <w:rFonts w:ascii="Arial" w:eastAsia="+mn-ea" w:hAnsi="Arial" w:cs="Arial"/>
          <w:color w:val="000000" w:themeColor="text1"/>
          <w:sz w:val="16"/>
          <w:szCs w:val="16"/>
          <w:lang w:eastAsia="en-GB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2C7E4E">
        <w:rPr>
          <w:rFonts w:ascii="Arial" w:eastAsia="+mn-ea" w:hAnsi="Arial" w:cs="Arial"/>
          <w:color w:val="000000" w:themeColor="text1"/>
          <w:sz w:val="16"/>
          <w:szCs w:val="16"/>
          <w:lang w:eastAsia="en-GB"/>
        </w:rPr>
        <w:t xml:space="preserve"> Table </w:t>
      </w:r>
      <w:r w:rsidR="4DC365C3" w:rsidRPr="6D536EC0">
        <w:rPr>
          <w:rFonts w:ascii="Arial" w:eastAsia="+mn-ea" w:hAnsi="Arial" w:cs="Arial"/>
          <w:color w:val="000000" w:themeColor="text1"/>
          <w:sz w:val="16"/>
          <w:szCs w:val="16"/>
          <w:lang w:eastAsia="en-GB"/>
        </w:rPr>
        <w:t>3</w:t>
      </w:r>
    </w:p>
    <w:p w14:paraId="48AD6E14" w14:textId="77777777" w:rsidR="000F73B2" w:rsidRDefault="6889B304" w:rsidP="523A79D0">
      <w:pPr>
        <w:spacing w:after="0" w:line="240" w:lineRule="auto"/>
        <w:rPr>
          <w:rFonts w:ascii="Arial" w:eastAsia="+mn-ea" w:hAnsi="Arial" w:cs="Arial"/>
          <w:kern w:val="24"/>
        </w:rPr>
      </w:pPr>
      <w:r w:rsidRPr="6D536EC0">
        <w:rPr>
          <w:rFonts w:ascii="Arial" w:eastAsia="+mn-ea" w:hAnsi="Arial" w:cs="Arial"/>
          <w:kern w:val="24"/>
        </w:rPr>
        <w:t xml:space="preserve">Final </w:t>
      </w:r>
      <w:r w:rsidR="17D0A256" w:rsidRPr="6D536EC0">
        <w:rPr>
          <w:rFonts w:ascii="Arial" w:eastAsia="+mn-ea" w:hAnsi="Arial" w:cs="Arial"/>
          <w:kern w:val="24"/>
        </w:rPr>
        <w:t>r</w:t>
      </w:r>
      <w:r w:rsidRPr="6D536EC0">
        <w:rPr>
          <w:rFonts w:ascii="Arial" w:eastAsia="+mn-ea" w:hAnsi="Arial" w:cs="Arial"/>
          <w:kern w:val="24"/>
        </w:rPr>
        <w:t xml:space="preserve">ed and </w:t>
      </w:r>
      <w:r w:rsidR="17D0A256" w:rsidRPr="6D536EC0">
        <w:rPr>
          <w:rFonts w:ascii="Arial" w:eastAsia="+mn-ea" w:hAnsi="Arial" w:cs="Arial"/>
          <w:kern w:val="24"/>
        </w:rPr>
        <w:t>r</w:t>
      </w:r>
      <w:r w:rsidRPr="6D536EC0">
        <w:rPr>
          <w:rFonts w:ascii="Arial" w:eastAsia="+mn-ea" w:hAnsi="Arial" w:cs="Arial"/>
          <w:kern w:val="24"/>
        </w:rPr>
        <w:t>ed/</w:t>
      </w:r>
      <w:r w:rsidR="17D0A256" w:rsidRPr="6D536EC0">
        <w:rPr>
          <w:rFonts w:ascii="Arial" w:eastAsia="+mn-ea" w:hAnsi="Arial" w:cs="Arial"/>
          <w:kern w:val="24"/>
        </w:rPr>
        <w:t>a</w:t>
      </w:r>
      <w:r w:rsidRPr="6D536EC0">
        <w:rPr>
          <w:rFonts w:ascii="Arial" w:eastAsia="+mn-ea" w:hAnsi="Arial" w:cs="Arial"/>
          <w:kern w:val="24"/>
        </w:rPr>
        <w:t xml:space="preserve">mber assurance reports are presented to the GARMS Committee individually for review and comment with relevant managers attending the meetings.  </w:t>
      </w:r>
    </w:p>
    <w:p w14:paraId="3316F880" w14:textId="77777777" w:rsidR="008B7F13" w:rsidRDefault="008B7F13" w:rsidP="523A79D0">
      <w:pPr>
        <w:spacing w:after="0" w:line="240" w:lineRule="auto"/>
        <w:rPr>
          <w:rFonts w:ascii="Arial" w:eastAsia="+mn-ea" w:hAnsi="Arial" w:cs="Arial"/>
          <w:kern w:val="24"/>
        </w:rPr>
      </w:pPr>
    </w:p>
    <w:p w14:paraId="45DD9216" w14:textId="77777777" w:rsidR="002956A9" w:rsidRDefault="002956A9" w:rsidP="523A79D0">
      <w:pPr>
        <w:spacing w:after="0" w:line="240" w:lineRule="auto"/>
        <w:rPr>
          <w:rFonts w:ascii="Arial" w:eastAsia="+mn-ea" w:hAnsi="Arial" w:cs="Arial"/>
          <w:kern w:val="24"/>
        </w:rPr>
      </w:pPr>
    </w:p>
    <w:p w14:paraId="314D7454" w14:textId="6DB7BB07" w:rsidR="007D5F62" w:rsidRPr="004E6157" w:rsidRDefault="4699D91B" w:rsidP="001774A9">
      <w:pPr>
        <w:shd w:val="clear" w:color="auto" w:fill="17365D" w:themeFill="text2" w:themeFillShade="BF"/>
        <w:spacing w:after="0" w:line="240" w:lineRule="auto"/>
        <w:rPr>
          <w:rFonts w:ascii="Arial" w:hAnsi="Arial" w:cs="Arial"/>
          <w:color w:val="FFFFFF" w:themeColor="background1"/>
          <w:sz w:val="32"/>
          <w:szCs w:val="32"/>
        </w:rPr>
      </w:pPr>
      <w:proofErr w:type="gramStart"/>
      <w:r w:rsidRPr="112C7E4E">
        <w:rPr>
          <w:rFonts w:ascii="Arial" w:hAnsi="Arial" w:cs="Arial"/>
          <w:color w:val="FFFFFF" w:themeColor="background1"/>
          <w:sz w:val="32"/>
          <w:szCs w:val="32"/>
        </w:rPr>
        <w:t>3.</w:t>
      </w:r>
      <w:r w:rsidR="0F97A839" w:rsidRPr="112C7E4E">
        <w:rPr>
          <w:rFonts w:ascii="Arial" w:hAnsi="Arial" w:cs="Arial"/>
          <w:color w:val="FFFFFF" w:themeColor="background1"/>
          <w:sz w:val="32"/>
          <w:szCs w:val="32"/>
        </w:rPr>
        <w:t>2</w:t>
      </w:r>
      <w:r w:rsidRPr="112C7E4E">
        <w:rPr>
          <w:rFonts w:ascii="Arial" w:hAnsi="Arial" w:cs="Arial"/>
          <w:color w:val="FFFFFF" w:themeColor="background1"/>
          <w:sz w:val="32"/>
          <w:szCs w:val="32"/>
        </w:rPr>
        <w:t xml:space="preserve">  </w:t>
      </w:r>
      <w:r w:rsidR="5C33C5E3" w:rsidRPr="112C7E4E">
        <w:rPr>
          <w:rFonts w:ascii="Arial" w:hAnsi="Arial" w:cs="Arial"/>
          <w:color w:val="FFFFFF" w:themeColor="background1"/>
          <w:sz w:val="32"/>
          <w:szCs w:val="32"/>
        </w:rPr>
        <w:t>Follow</w:t>
      </w:r>
      <w:proofErr w:type="gramEnd"/>
      <w:r w:rsidR="5C33C5E3" w:rsidRPr="112C7E4E">
        <w:rPr>
          <w:rFonts w:ascii="Arial" w:hAnsi="Arial" w:cs="Arial"/>
          <w:color w:val="FFFFFF" w:themeColor="background1"/>
          <w:sz w:val="32"/>
          <w:szCs w:val="32"/>
        </w:rPr>
        <w:t xml:space="preserve"> Up Work Conducted</w:t>
      </w:r>
      <w:r w:rsidR="558C88D4" w:rsidRPr="112C7E4E">
        <w:rPr>
          <w:rFonts w:ascii="Arial" w:hAnsi="Arial" w:cs="Arial"/>
          <w:color w:val="FFFFFF" w:themeColor="background1"/>
          <w:sz w:val="32"/>
          <w:szCs w:val="32"/>
        </w:rPr>
        <w:t>/Due</w:t>
      </w:r>
    </w:p>
    <w:p w14:paraId="03748B4B" w14:textId="77777777" w:rsidR="000F59D4" w:rsidRPr="007244A4" w:rsidRDefault="000F59D4" w:rsidP="000F59D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1181378A" w14:textId="414B23F0" w:rsidR="00D86F82" w:rsidRDefault="49B8C971" w:rsidP="6D536EC0">
      <w:pPr>
        <w:spacing w:after="0" w:line="240" w:lineRule="auto"/>
        <w:jc w:val="both"/>
        <w:rPr>
          <w:rFonts w:ascii="Arial" w:eastAsia="+mn-ea" w:hAnsi="Arial" w:cs="+mn-cs"/>
          <w:color w:val="000000"/>
          <w:kern w:val="24"/>
          <w:lang w:val="en-US" w:eastAsia="en-GB"/>
        </w:rPr>
      </w:pPr>
      <w:proofErr w:type="gramStart"/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>In order for</w:t>
      </w:r>
      <w:proofErr w:type="gramEnd"/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the </w:t>
      </w:r>
      <w:r w:rsidR="06ABDACB" w:rsidRPr="6D536EC0">
        <w:rPr>
          <w:rFonts w:ascii="Arial" w:eastAsia="+mn-ea" w:hAnsi="Arial" w:cs="+mn-cs"/>
          <w:color w:val="000000"/>
          <w:kern w:val="24"/>
          <w:lang w:val="en-US" w:eastAsia="en-GB"/>
        </w:rPr>
        <w:t>Council</w:t>
      </w:r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to derive maximum benefit from internal audit, agreed actions should be implemented. </w:t>
      </w:r>
      <w:r w:rsidR="06ABDACB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Whilst management </w:t>
      </w:r>
      <w:r w:rsidR="4D574D8C" w:rsidRPr="6D536EC0">
        <w:rPr>
          <w:rFonts w:ascii="Arial" w:eastAsia="+mn-ea" w:hAnsi="Arial" w:cs="+mn-cs"/>
          <w:color w:val="000000"/>
          <w:kern w:val="24"/>
          <w:lang w:val="en-US" w:eastAsia="en-GB"/>
        </w:rPr>
        <w:t>is</w:t>
      </w:r>
      <w:r w:rsidR="06ABDACB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responsible for implementing recommendations, in</w:t>
      </w:r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accordance with </w:t>
      </w:r>
      <w:r w:rsidR="06ABDACB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the </w:t>
      </w:r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>internal audit p</w:t>
      </w:r>
      <w:r w:rsidR="49AA686B" w:rsidRPr="6D536EC0">
        <w:rPr>
          <w:rFonts w:ascii="Arial" w:eastAsia="+mn-ea" w:hAnsi="Arial" w:cs="+mn-cs"/>
          <w:color w:val="000000"/>
          <w:kern w:val="24"/>
          <w:lang w:val="en-US" w:eastAsia="en-GB"/>
        </w:rPr>
        <w:t>rotocol</w:t>
      </w:r>
      <w:r w:rsidR="4ABD599F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follow-ups of recommendations are undertaken for </w:t>
      </w:r>
      <w:r w:rsidR="12B1E6E1" w:rsidRPr="6D536EC0">
        <w:rPr>
          <w:rFonts w:ascii="Arial" w:eastAsia="+mn-ea" w:hAnsi="Arial" w:cs="+mn-cs"/>
          <w:color w:val="000000"/>
          <w:kern w:val="24"/>
          <w:lang w:val="en-US" w:eastAsia="en-GB"/>
        </w:rPr>
        <w:t>Red, Red/Amber &amp; Amber</w:t>
      </w:r>
      <w:r w:rsidR="4ABD599F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assurance reports</w:t>
      </w:r>
      <w:r w:rsidR="49AA686B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and </w:t>
      </w:r>
      <w:r w:rsidR="49AA686B" w:rsidRPr="6D536EC0">
        <w:rPr>
          <w:rFonts w:ascii="Arial" w:eastAsia="Times New Roman" w:hAnsi="Arial" w:cs="Arial"/>
          <w:lang w:eastAsia="en-GB"/>
        </w:rPr>
        <w:t>report recommendations are followed-up until at least an Amber assurance rating is achieved</w:t>
      </w:r>
      <w:r w:rsidR="4ABD599F" w:rsidRPr="6D536EC0">
        <w:rPr>
          <w:rFonts w:ascii="Arial" w:eastAsia="+mn-ea" w:hAnsi="Arial" w:cs="+mn-cs"/>
          <w:color w:val="000000"/>
          <w:kern w:val="24"/>
          <w:lang w:val="en-US" w:eastAsia="en-GB"/>
        </w:rPr>
        <w:t>.</w:t>
      </w:r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</w:t>
      </w:r>
      <w:r w:rsidR="5A321918" w:rsidRPr="6D536EC0">
        <w:rPr>
          <w:rFonts w:ascii="Arial" w:eastAsia="+mn-ea" w:hAnsi="Arial" w:cs="+mn-cs"/>
          <w:color w:val="000000"/>
          <w:kern w:val="24"/>
          <w:lang w:val="en-US" w:eastAsia="en-GB"/>
        </w:rPr>
        <w:t>T</w:t>
      </w:r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>able</w:t>
      </w:r>
      <w:r w:rsidR="759734BF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4</w:t>
      </w:r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below </w:t>
      </w:r>
      <w:r w:rsidRPr="6D536EC0">
        <w:rPr>
          <w:rFonts w:ascii="Arial" w:eastAsia="+mn-ea" w:hAnsi="Arial" w:cs="+mn-cs"/>
          <w:color w:val="000000"/>
          <w:kern w:val="24"/>
          <w:lang w:eastAsia="en-GB"/>
        </w:rPr>
        <w:t>summarises</w:t>
      </w:r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</w:t>
      </w:r>
      <w:proofErr w:type="spellStart"/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>the</w:t>
      </w:r>
      <w:proofErr w:type="spellEnd"/>
      <w:r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follow up work performed</w:t>
      </w:r>
      <w:r w:rsidR="4ABD599F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</w:t>
      </w:r>
      <w:r w:rsidR="004169BF">
        <w:rPr>
          <w:rFonts w:ascii="Arial" w:eastAsia="+mn-ea" w:hAnsi="Arial" w:cs="+mn-cs"/>
          <w:color w:val="000000"/>
          <w:kern w:val="24"/>
          <w:lang w:val="en-US" w:eastAsia="en-GB"/>
        </w:rPr>
        <w:t>up to</w:t>
      </w:r>
      <w:r w:rsidR="63AAC6B0" w:rsidRPr="6D536EC0">
        <w:rPr>
          <w:rFonts w:ascii="Arial" w:eastAsia="+mn-ea" w:hAnsi="Arial" w:cs="+mn-cs"/>
          <w:color w:val="000000"/>
          <w:kern w:val="24"/>
          <w:lang w:val="en-US" w:eastAsia="en-GB"/>
        </w:rPr>
        <w:t xml:space="preserve"> </w:t>
      </w:r>
      <w:r w:rsidR="00B85561">
        <w:rPr>
          <w:rFonts w:ascii="Arial" w:eastAsia="+mn-ea" w:hAnsi="Arial" w:cs="+mn-cs"/>
          <w:color w:val="000000"/>
          <w:kern w:val="24"/>
          <w:lang w:val="en-US" w:eastAsia="en-GB"/>
        </w:rPr>
        <w:t>29 February 2024.</w:t>
      </w:r>
    </w:p>
    <w:p w14:paraId="1F4B712F" w14:textId="77777777" w:rsidR="00244655" w:rsidRDefault="00244655" w:rsidP="6D536EC0">
      <w:pPr>
        <w:spacing w:after="0" w:line="240" w:lineRule="auto"/>
        <w:jc w:val="both"/>
        <w:rPr>
          <w:rFonts w:ascii="Arial" w:eastAsia="+mn-ea" w:hAnsi="Arial" w:cs="+mn-cs"/>
          <w:color w:val="000000" w:themeColor="text1"/>
          <w:lang w:val="en-US" w:eastAsia="en-GB"/>
        </w:rPr>
      </w:pPr>
    </w:p>
    <w:p w14:paraId="48EAD34C" w14:textId="77777777" w:rsidR="00AF796B" w:rsidRDefault="00AF796B" w:rsidP="6D536EC0">
      <w:pPr>
        <w:spacing w:after="0" w:line="240" w:lineRule="auto"/>
        <w:jc w:val="both"/>
        <w:rPr>
          <w:rFonts w:ascii="Arial" w:eastAsia="+mn-ea" w:hAnsi="Arial" w:cs="+mn-cs"/>
          <w:color w:val="000000" w:themeColor="text1"/>
          <w:sz w:val="16"/>
          <w:szCs w:val="16"/>
          <w:lang w:val="en-US" w:eastAsia="en-GB"/>
        </w:rPr>
      </w:pPr>
    </w:p>
    <w:tbl>
      <w:tblPr>
        <w:tblStyle w:val="TableGrid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70"/>
        <w:gridCol w:w="1170"/>
        <w:gridCol w:w="1050"/>
        <w:gridCol w:w="1140"/>
        <w:gridCol w:w="1110"/>
        <w:gridCol w:w="2024"/>
      </w:tblGrid>
      <w:tr w:rsidR="00243067" w14:paraId="53F54C23" w14:textId="5D4DC01F" w:rsidTr="6D536EC0">
        <w:trPr>
          <w:cantSplit/>
          <w:trHeight w:val="300"/>
          <w:tblHeader/>
        </w:trPr>
        <w:tc>
          <w:tcPr>
            <w:tcW w:w="3570" w:type="dxa"/>
            <w:shd w:val="clear" w:color="auto" w:fill="17365D" w:themeFill="text2" w:themeFillShade="BF"/>
          </w:tcPr>
          <w:p w14:paraId="774A50D7" w14:textId="695EF4F2" w:rsidR="00881A39" w:rsidRPr="00D86F82" w:rsidRDefault="00881A39" w:rsidP="00D86F82">
            <w:pPr>
              <w:spacing w:after="12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D86F8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Review</w:t>
            </w:r>
          </w:p>
        </w:tc>
        <w:tc>
          <w:tcPr>
            <w:tcW w:w="2220" w:type="dxa"/>
            <w:gridSpan w:val="2"/>
            <w:shd w:val="clear" w:color="auto" w:fill="17365D" w:themeFill="text2" w:themeFillShade="BF"/>
          </w:tcPr>
          <w:p w14:paraId="790C3E6A" w14:textId="2859F6C7" w:rsidR="00881A39" w:rsidRDefault="00881A39" w:rsidP="00C62BC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Original Assurance Rating</w:t>
            </w:r>
          </w:p>
        </w:tc>
        <w:tc>
          <w:tcPr>
            <w:tcW w:w="2250" w:type="dxa"/>
            <w:gridSpan w:val="2"/>
            <w:shd w:val="clear" w:color="auto" w:fill="17365D" w:themeFill="text2" w:themeFillShade="BF"/>
          </w:tcPr>
          <w:p w14:paraId="65C36184" w14:textId="573855A5" w:rsidR="00881A39" w:rsidRPr="00D86F82" w:rsidRDefault="00881A39" w:rsidP="00C62BC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Re-Assessed Assurance Rating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380EC48" w14:textId="15D60C66" w:rsidR="00881A39" w:rsidRDefault="00881A39" w:rsidP="00C62BC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Comments</w:t>
            </w:r>
          </w:p>
        </w:tc>
      </w:tr>
      <w:tr w:rsidR="00930E3D" w14:paraId="114B2A9B" w14:textId="7420A1A6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3B1ED543" w14:textId="254FE45C" w:rsidR="00FC06ED" w:rsidRPr="00244655" w:rsidRDefault="000D3554" w:rsidP="00FB7987">
            <w:pPr>
              <w:spacing w:after="0" w:line="240" w:lineRule="atLeast"/>
              <w:rPr>
                <w:rFonts w:ascii="Arial" w:hAnsi="Arial" w:cs="Arial"/>
                <w:bCs/>
                <w:lang w:val="en-US"/>
              </w:rPr>
            </w:pPr>
            <w:r w:rsidRPr="00244655">
              <w:rPr>
                <w:rFonts w:ascii="Arial" w:hAnsi="Arial" w:cs="Arial"/>
                <w:bCs/>
                <w:lang w:val="en-US"/>
              </w:rPr>
              <w:t>Capital Expenditure</w:t>
            </w:r>
          </w:p>
        </w:tc>
        <w:tc>
          <w:tcPr>
            <w:tcW w:w="1170" w:type="dxa"/>
            <w:shd w:val="clear" w:color="auto" w:fill="FFC000"/>
          </w:tcPr>
          <w:p w14:paraId="28E84269" w14:textId="1A7BBF1D" w:rsidR="00FC06ED" w:rsidRPr="00244655" w:rsidRDefault="00BB2A74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Amber</w:t>
            </w:r>
          </w:p>
        </w:tc>
        <w:tc>
          <w:tcPr>
            <w:tcW w:w="1050" w:type="dxa"/>
            <w:shd w:val="clear" w:color="auto" w:fill="00B050"/>
          </w:tcPr>
          <w:p w14:paraId="71486C2A" w14:textId="49539C88" w:rsidR="00FC06ED" w:rsidRPr="00244655" w:rsidRDefault="00BB2A74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Green</w:t>
            </w:r>
          </w:p>
        </w:tc>
        <w:tc>
          <w:tcPr>
            <w:tcW w:w="2250" w:type="dxa"/>
            <w:gridSpan w:val="2"/>
            <w:shd w:val="clear" w:color="auto" w:fill="00B050"/>
          </w:tcPr>
          <w:p w14:paraId="026A860A" w14:textId="72AA8EC9" w:rsidR="00FC06ED" w:rsidRPr="00244655" w:rsidRDefault="00BB2A74" w:rsidP="00FB798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Green</w:t>
            </w:r>
          </w:p>
        </w:tc>
        <w:tc>
          <w:tcPr>
            <w:tcW w:w="2024" w:type="dxa"/>
            <w:shd w:val="clear" w:color="auto" w:fill="auto"/>
          </w:tcPr>
          <w:p w14:paraId="4BA4EDFF" w14:textId="746FD313" w:rsidR="00FC06ED" w:rsidRPr="00244655" w:rsidRDefault="3B4ED4A8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Complete</w:t>
            </w:r>
            <w:r w:rsidR="38260C58"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d</w:t>
            </w:r>
          </w:p>
        </w:tc>
      </w:tr>
      <w:tr w:rsidR="00243067" w14:paraId="1F19EFBF" w14:textId="77777777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73815003" w14:textId="0FE6F123" w:rsidR="005A610D" w:rsidRPr="00244655" w:rsidRDefault="7FDFD8FE" w:rsidP="112C7E4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NDR</w:t>
            </w:r>
          </w:p>
        </w:tc>
        <w:tc>
          <w:tcPr>
            <w:tcW w:w="1170" w:type="dxa"/>
            <w:shd w:val="clear" w:color="auto" w:fill="FFC000"/>
          </w:tcPr>
          <w:p w14:paraId="42E76B17" w14:textId="66F62BB9" w:rsidR="005A610D" w:rsidRPr="00244655" w:rsidRDefault="7FDFD8FE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Amber</w:t>
            </w:r>
          </w:p>
        </w:tc>
        <w:tc>
          <w:tcPr>
            <w:tcW w:w="1050" w:type="dxa"/>
            <w:shd w:val="clear" w:color="auto" w:fill="00B050"/>
          </w:tcPr>
          <w:p w14:paraId="43042FB1" w14:textId="70DCAAF8" w:rsidR="005A610D" w:rsidRPr="00244655" w:rsidRDefault="7FDFD8FE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Green</w:t>
            </w:r>
          </w:p>
        </w:tc>
        <w:tc>
          <w:tcPr>
            <w:tcW w:w="1140" w:type="dxa"/>
            <w:shd w:val="clear" w:color="auto" w:fill="FFC000"/>
          </w:tcPr>
          <w:p w14:paraId="12A66714" w14:textId="4209F512" w:rsidR="005A610D" w:rsidRPr="00244655" w:rsidRDefault="7A9A10AD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Amber</w:t>
            </w:r>
          </w:p>
        </w:tc>
        <w:tc>
          <w:tcPr>
            <w:tcW w:w="1110" w:type="dxa"/>
            <w:shd w:val="clear" w:color="auto" w:fill="00B050"/>
          </w:tcPr>
          <w:p w14:paraId="36E08A5D" w14:textId="2332A854" w:rsidR="7A9A10AD" w:rsidRPr="00244655" w:rsidRDefault="7A9A10AD" w:rsidP="112C7E4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Green</w:t>
            </w:r>
          </w:p>
        </w:tc>
        <w:tc>
          <w:tcPr>
            <w:tcW w:w="2024" w:type="dxa"/>
            <w:shd w:val="clear" w:color="auto" w:fill="auto"/>
          </w:tcPr>
          <w:p w14:paraId="14CD3293" w14:textId="7CE98FED" w:rsidR="005A610D" w:rsidRPr="00244655" w:rsidRDefault="3B4ED4A8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Complete</w:t>
            </w:r>
            <w:r w:rsidR="38260C58"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d</w:t>
            </w:r>
          </w:p>
        </w:tc>
      </w:tr>
      <w:tr w:rsidR="00930E3D" w14:paraId="411F1168" w14:textId="77777777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54A4C715" w14:textId="29985A7D" w:rsidR="00706106" w:rsidRPr="00244655" w:rsidRDefault="3B4ED4A8" w:rsidP="112C7E4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HMO 2</w:t>
            </w:r>
            <w:r w:rsidRPr="00244655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nd</w:t>
            </w:r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Follow-up</w:t>
            </w:r>
          </w:p>
        </w:tc>
        <w:tc>
          <w:tcPr>
            <w:tcW w:w="2220" w:type="dxa"/>
            <w:gridSpan w:val="2"/>
            <w:shd w:val="clear" w:color="auto" w:fill="FFC000"/>
          </w:tcPr>
          <w:p w14:paraId="65196F01" w14:textId="0D3AD2D7" w:rsidR="00706106" w:rsidRPr="00244655" w:rsidRDefault="3B4ED4A8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Amber</w:t>
            </w:r>
          </w:p>
        </w:tc>
        <w:tc>
          <w:tcPr>
            <w:tcW w:w="1140" w:type="dxa"/>
            <w:shd w:val="clear" w:color="auto" w:fill="FFC000"/>
          </w:tcPr>
          <w:p w14:paraId="1BC470E0" w14:textId="78E7ABD7" w:rsidR="00706106" w:rsidRPr="00244655" w:rsidRDefault="6571F85B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Amber</w:t>
            </w:r>
          </w:p>
        </w:tc>
        <w:tc>
          <w:tcPr>
            <w:tcW w:w="1110" w:type="dxa"/>
            <w:shd w:val="clear" w:color="auto" w:fill="00B050"/>
          </w:tcPr>
          <w:p w14:paraId="5C849A42" w14:textId="71059CBC" w:rsidR="6571F85B" w:rsidRPr="00244655" w:rsidRDefault="6571F85B" w:rsidP="112C7E4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4465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Green</w:t>
            </w:r>
          </w:p>
        </w:tc>
        <w:tc>
          <w:tcPr>
            <w:tcW w:w="2024" w:type="dxa"/>
            <w:shd w:val="clear" w:color="auto" w:fill="auto"/>
          </w:tcPr>
          <w:p w14:paraId="5A2B1059" w14:textId="2D3B21F4" w:rsidR="00706106" w:rsidRPr="00244655" w:rsidRDefault="3B4ED4A8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Complete</w:t>
            </w:r>
            <w:r w:rsidR="7430EA25"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d</w:t>
            </w:r>
          </w:p>
        </w:tc>
      </w:tr>
      <w:tr w:rsidR="00706106" w14:paraId="5BF98061" w14:textId="4A1CD116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350FDC52" w14:textId="2A8EAB63" w:rsidR="00706106" w:rsidRPr="00244655" w:rsidRDefault="00706106" w:rsidP="005A610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/>
                <w:lang w:eastAsia="en-GB"/>
              </w:rPr>
              <w:t>Highways Review 2</w:t>
            </w:r>
            <w:r w:rsidRPr="00244655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 w:rsidRPr="002446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Follow-up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30920E16" w14:textId="3D4F84CF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B18B3C1" w14:textId="7E666ED9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024" w:type="dxa"/>
            <w:shd w:val="clear" w:color="auto" w:fill="auto"/>
          </w:tcPr>
          <w:p w14:paraId="3DB4CBC1" w14:textId="06272134" w:rsidR="00706106" w:rsidRPr="00244655" w:rsidRDefault="00007E13" w:rsidP="112C7E4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Replaced by system review of Highways</w:t>
            </w:r>
          </w:p>
        </w:tc>
      </w:tr>
      <w:tr w:rsidR="005A610D" w14:paraId="004FE4B2" w14:textId="29600414" w:rsidTr="4DEDC1A1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732AD91E" w14:textId="6F5ADBFE" w:rsidR="005A610D" w:rsidRPr="00244655" w:rsidRDefault="009D0DBB" w:rsidP="005A610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/>
                <w:lang w:eastAsia="en-GB"/>
              </w:rPr>
              <w:t>Leaseholder Service Charges</w:t>
            </w:r>
          </w:p>
        </w:tc>
        <w:tc>
          <w:tcPr>
            <w:tcW w:w="2220" w:type="dxa"/>
            <w:gridSpan w:val="2"/>
            <w:shd w:val="clear" w:color="auto" w:fill="FFC000"/>
          </w:tcPr>
          <w:p w14:paraId="4DD857FF" w14:textId="085CDBE4" w:rsidR="005A610D" w:rsidRPr="00244655" w:rsidRDefault="00225491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Amber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FB4B477" w14:textId="330166B0" w:rsidR="005A610D" w:rsidRPr="00244655" w:rsidRDefault="00225491" w:rsidP="005A610D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2024" w:type="dxa"/>
            <w:shd w:val="clear" w:color="auto" w:fill="auto"/>
          </w:tcPr>
          <w:p w14:paraId="527C2979" w14:textId="26317620" w:rsidR="005A610D" w:rsidRPr="00244655" w:rsidRDefault="000C7A03" w:rsidP="005A610D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706106" w14:paraId="687371A0" w14:textId="4285FC5E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14053D0F" w14:textId="061545F8" w:rsidR="00706106" w:rsidRPr="00244655" w:rsidRDefault="00706106" w:rsidP="005A610D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lang w:eastAsia="en-GB"/>
              </w:rPr>
            </w:pPr>
            <w:r w:rsidRPr="00244655">
              <w:rPr>
                <w:rFonts w:ascii="Arial" w:eastAsiaTheme="minorHAnsi" w:hAnsi="Arial" w:cs="Arial"/>
                <w:color w:val="000000"/>
                <w:lang w:eastAsia="en-GB"/>
              </w:rPr>
              <w:t>Parking Operations 2</w:t>
            </w:r>
            <w:r w:rsidRPr="00244655">
              <w:rPr>
                <w:rFonts w:ascii="Arial" w:eastAsiaTheme="minorHAnsi" w:hAnsi="Arial" w:cs="Arial"/>
                <w:color w:val="000000"/>
                <w:vertAlign w:val="superscript"/>
                <w:lang w:eastAsia="en-GB"/>
              </w:rPr>
              <w:t>nd</w:t>
            </w:r>
            <w:r w:rsidRPr="00244655">
              <w:rPr>
                <w:rFonts w:ascii="Arial" w:eastAsiaTheme="minorHAnsi" w:hAnsi="Arial" w:cs="Arial"/>
                <w:color w:val="000000"/>
                <w:lang w:eastAsia="en-GB"/>
              </w:rPr>
              <w:t xml:space="preserve"> Follow-up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4300587F" w14:textId="60D2E5D0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F4FD7A6" w14:textId="48A95ED7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024" w:type="dxa"/>
            <w:shd w:val="clear" w:color="auto" w:fill="auto"/>
          </w:tcPr>
          <w:p w14:paraId="35110181" w14:textId="523B780C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WiP</w:t>
            </w:r>
            <w:proofErr w:type="spellEnd"/>
          </w:p>
        </w:tc>
      </w:tr>
      <w:tr w:rsidR="00706106" w14:paraId="74ECB712" w14:textId="4DA1E644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2FDAF712" w14:textId="5E55AD24" w:rsidR="00706106" w:rsidRPr="00244655" w:rsidRDefault="00706106" w:rsidP="005A610D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lang w:eastAsia="en-GB"/>
              </w:rPr>
            </w:pPr>
            <w:r w:rsidRPr="00244655">
              <w:rPr>
                <w:rFonts w:ascii="Arial" w:eastAsiaTheme="minorHAnsi" w:hAnsi="Arial" w:cs="Arial"/>
                <w:color w:val="000000"/>
                <w:lang w:eastAsia="en-GB"/>
              </w:rPr>
              <w:t>Housing Repairs Compliance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3F328F8E" w14:textId="55705DFD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1BA043E" w14:textId="1F94F006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24" w:type="dxa"/>
            <w:shd w:val="clear" w:color="auto" w:fill="auto"/>
          </w:tcPr>
          <w:p w14:paraId="28418735" w14:textId="5DF56990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655">
              <w:rPr>
                <w:rFonts w:ascii="Arial" w:eastAsia="Times New Roman" w:hAnsi="Arial" w:cs="Arial"/>
                <w:color w:val="000000" w:themeColor="text1"/>
                <w:lang w:eastAsia="en-GB"/>
              </w:rPr>
              <w:t>Q4</w:t>
            </w:r>
          </w:p>
        </w:tc>
      </w:tr>
      <w:tr w:rsidR="005A610D" w14:paraId="53D0B0A5" w14:textId="2EA60008" w:rsidTr="4DEDC1A1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5BE11EFB" w14:textId="0E35FF3F" w:rsidR="005A610D" w:rsidRPr="00244655" w:rsidRDefault="005A610D" w:rsidP="005A610D">
            <w:pPr>
              <w:spacing w:after="0" w:line="240" w:lineRule="atLeast"/>
              <w:rPr>
                <w:rFonts w:ascii="Arial" w:hAnsi="Arial" w:cs="Arial"/>
                <w:color w:val="000000"/>
                <w:lang w:eastAsia="en-GB"/>
              </w:rPr>
            </w:pPr>
            <w:r w:rsidRPr="00244655">
              <w:rPr>
                <w:rFonts w:ascii="Arial" w:hAnsi="Arial" w:cs="Arial"/>
                <w:color w:val="000000"/>
                <w:lang w:eastAsia="en-GB"/>
              </w:rPr>
              <w:t>Woodland Investigation</w:t>
            </w:r>
          </w:p>
        </w:tc>
        <w:tc>
          <w:tcPr>
            <w:tcW w:w="2220" w:type="dxa"/>
            <w:gridSpan w:val="2"/>
            <w:shd w:val="clear" w:color="auto" w:fill="FFC000"/>
          </w:tcPr>
          <w:p w14:paraId="666E761F" w14:textId="396FC04F" w:rsidR="005A610D" w:rsidRPr="00244655" w:rsidRDefault="000C7A03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Amber</w:t>
            </w:r>
          </w:p>
        </w:tc>
        <w:tc>
          <w:tcPr>
            <w:tcW w:w="2250" w:type="dxa"/>
            <w:gridSpan w:val="2"/>
            <w:shd w:val="clear" w:color="auto" w:fill="00B050"/>
          </w:tcPr>
          <w:p w14:paraId="36B67587" w14:textId="62363520" w:rsidR="005A610D" w:rsidRPr="00946D21" w:rsidRDefault="000C7A03" w:rsidP="005A610D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946D21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10C795F6" w14:textId="528D5FDF" w:rsidR="005A610D" w:rsidRPr="00244655" w:rsidRDefault="000C7A03" w:rsidP="005A610D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5A610D" w14:paraId="3F9FE3DF" w14:textId="5142331C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3BBE0938" w14:textId="749236C1" w:rsidR="005A610D" w:rsidRPr="00244655" w:rsidRDefault="005A610D" w:rsidP="005A610D">
            <w:pPr>
              <w:spacing w:after="0" w:line="240" w:lineRule="atLeast"/>
              <w:rPr>
                <w:rFonts w:ascii="Arial" w:eastAsiaTheme="minorHAnsi" w:hAnsi="Arial" w:cs="Arial"/>
                <w:color w:val="000000"/>
                <w:lang w:eastAsia="en-GB"/>
              </w:rPr>
            </w:pPr>
            <w:r w:rsidRPr="00244655">
              <w:rPr>
                <w:rFonts w:ascii="Arial" w:eastAsiaTheme="minorHAnsi" w:hAnsi="Arial" w:cs="Arial"/>
                <w:color w:val="000000"/>
                <w:lang w:eastAsia="en-GB"/>
              </w:rPr>
              <w:t>Cedar Manor Investigation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04747194" w14:textId="673109E8" w:rsidR="005A610D" w:rsidRPr="00244655" w:rsidRDefault="005A610D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235F224" w14:textId="208C773E" w:rsidR="005A610D" w:rsidRPr="00244655" w:rsidRDefault="005A610D" w:rsidP="005A61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024" w:type="dxa"/>
            <w:shd w:val="clear" w:color="auto" w:fill="auto"/>
          </w:tcPr>
          <w:p w14:paraId="6A970B78" w14:textId="19CEB5CD" w:rsidR="005A610D" w:rsidRPr="00244655" w:rsidRDefault="005A610D" w:rsidP="005A610D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proofErr w:type="spellStart"/>
            <w:r w:rsidRPr="00244655">
              <w:rPr>
                <w:rFonts w:ascii="Arial" w:hAnsi="Arial" w:cs="Arial"/>
              </w:rPr>
              <w:t>WiP</w:t>
            </w:r>
            <w:proofErr w:type="spellEnd"/>
          </w:p>
        </w:tc>
      </w:tr>
      <w:tr w:rsidR="00706106" w14:paraId="74A17395" w14:textId="6F9B65EF" w:rsidTr="6D536EC0">
        <w:trPr>
          <w:cantSplit/>
          <w:trHeight w:val="300"/>
          <w:tblHeader/>
        </w:trPr>
        <w:tc>
          <w:tcPr>
            <w:tcW w:w="3570" w:type="dxa"/>
            <w:shd w:val="clear" w:color="auto" w:fill="auto"/>
          </w:tcPr>
          <w:p w14:paraId="7D260779" w14:textId="4EBF03DF" w:rsidR="00706106" w:rsidRPr="00244655" w:rsidRDefault="00706106" w:rsidP="4DEDC1A1">
            <w:pPr>
              <w:spacing w:after="0" w:line="240" w:lineRule="atLeast"/>
              <w:rPr>
                <w:rFonts w:ascii="Arial" w:eastAsiaTheme="minorEastAsia" w:hAnsi="Arial" w:cs="Arial"/>
                <w:color w:val="000000" w:themeColor="text1"/>
                <w:lang w:eastAsia="en-GB"/>
              </w:rPr>
            </w:pPr>
            <w:r w:rsidRPr="4DEDC1A1">
              <w:rPr>
                <w:rFonts w:ascii="Arial" w:eastAsiaTheme="minorEastAsia" w:hAnsi="Arial" w:cs="Arial"/>
                <w:color w:val="000000" w:themeColor="text1"/>
                <w:lang w:eastAsia="en-GB"/>
              </w:rPr>
              <w:t xml:space="preserve">Cedar Manor </w:t>
            </w:r>
          </w:p>
          <w:p w14:paraId="73F5B45B" w14:textId="5CC04A59" w:rsidR="00706106" w:rsidRPr="00244655" w:rsidRDefault="00706106" w:rsidP="005A610D">
            <w:pPr>
              <w:spacing w:after="0" w:line="240" w:lineRule="atLeast"/>
              <w:rPr>
                <w:rFonts w:ascii="Arial" w:eastAsiaTheme="minorEastAsia" w:hAnsi="Arial" w:cs="Arial"/>
                <w:color w:val="000000"/>
                <w:lang w:eastAsia="en-GB"/>
              </w:rPr>
            </w:pPr>
            <w:r w:rsidRPr="4DEDC1A1">
              <w:rPr>
                <w:rFonts w:ascii="Arial" w:eastAsiaTheme="minorEastAsia" w:hAnsi="Arial" w:cs="Arial"/>
                <w:color w:val="000000" w:themeColor="text1"/>
                <w:lang w:eastAsia="en-GB"/>
              </w:rPr>
              <w:t>Governance &amp; Finance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2399A020" w14:textId="776E30B0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7A0A252" w14:textId="3F816FBE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024" w:type="dxa"/>
            <w:shd w:val="clear" w:color="auto" w:fill="auto"/>
          </w:tcPr>
          <w:p w14:paraId="4880148E" w14:textId="11C95039" w:rsidR="00706106" w:rsidRPr="00244655" w:rsidRDefault="00706106" w:rsidP="005A610D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proofErr w:type="spellStart"/>
            <w:r w:rsidRPr="00244655">
              <w:rPr>
                <w:rFonts w:ascii="Arial" w:hAnsi="Arial" w:cs="Arial"/>
              </w:rPr>
              <w:t>WiP</w:t>
            </w:r>
            <w:proofErr w:type="spellEnd"/>
          </w:p>
        </w:tc>
      </w:tr>
    </w:tbl>
    <w:p w14:paraId="33BCCAE1" w14:textId="77777777" w:rsidR="002956A9" w:rsidRDefault="002956A9" w:rsidP="6D536EC0">
      <w:pPr>
        <w:spacing w:after="0" w:line="240" w:lineRule="auto"/>
        <w:ind w:left="8640" w:firstLine="720"/>
        <w:rPr>
          <w:rFonts w:ascii="Arial" w:eastAsia="+mn-ea" w:hAnsi="Arial" w:cs="Arial"/>
          <w:color w:val="000000" w:themeColor="text1"/>
          <w:sz w:val="16"/>
          <w:szCs w:val="16"/>
          <w:lang w:eastAsia="en-GB"/>
        </w:rPr>
      </w:pPr>
    </w:p>
    <w:p w14:paraId="05C5D1E3" w14:textId="603A32D4" w:rsidR="112C7E4E" w:rsidRDefault="67EB104E" w:rsidP="6D536EC0">
      <w:pPr>
        <w:spacing w:after="0" w:line="240" w:lineRule="auto"/>
        <w:ind w:left="8640" w:firstLine="720"/>
        <w:rPr>
          <w:rFonts w:ascii="Arial" w:eastAsia="+mn-ea" w:hAnsi="Arial" w:cs="Arial"/>
          <w:color w:val="000000" w:themeColor="text1"/>
          <w:sz w:val="24"/>
          <w:szCs w:val="24"/>
          <w:lang w:eastAsia="en-GB"/>
        </w:rPr>
      </w:pPr>
      <w:r w:rsidRPr="6D536EC0">
        <w:rPr>
          <w:rFonts w:ascii="Arial" w:eastAsia="+mn-ea" w:hAnsi="Arial" w:cs="Arial"/>
          <w:color w:val="000000" w:themeColor="text1"/>
          <w:sz w:val="16"/>
          <w:szCs w:val="16"/>
          <w:lang w:eastAsia="en-GB"/>
        </w:rPr>
        <w:t>Table 4</w:t>
      </w:r>
    </w:p>
    <w:p w14:paraId="2B6D03B8" w14:textId="68068456" w:rsidR="6D536EC0" w:rsidRDefault="6D536EC0" w:rsidP="6D536EC0">
      <w:pPr>
        <w:spacing w:after="0" w:line="240" w:lineRule="auto"/>
        <w:ind w:left="8640" w:firstLine="720"/>
        <w:rPr>
          <w:rFonts w:ascii="Arial" w:eastAsia="+mn-ea" w:hAnsi="Arial" w:cs="Arial"/>
          <w:color w:val="000000" w:themeColor="text1"/>
          <w:sz w:val="16"/>
          <w:szCs w:val="16"/>
          <w:lang w:eastAsia="en-GB"/>
        </w:rPr>
      </w:pPr>
    </w:p>
    <w:p w14:paraId="5A762BA0" w14:textId="1A9EC8ED" w:rsidR="001276EA" w:rsidRDefault="4699D91B" w:rsidP="523A79D0">
      <w:pPr>
        <w:shd w:val="clear" w:color="auto" w:fill="002060"/>
        <w:spacing w:after="0" w:line="240" w:lineRule="auto"/>
        <w:ind w:right="90"/>
        <w:rPr>
          <w:rFonts w:ascii="Arial" w:hAnsi="Arial" w:cs="Arial"/>
          <w:b/>
          <w:bCs/>
          <w:sz w:val="40"/>
          <w:szCs w:val="40"/>
          <w:shd w:val="clear" w:color="auto" w:fill="FFFFFF" w:themeFill="background1"/>
        </w:rPr>
      </w:pPr>
      <w:bookmarkStart w:id="7" w:name="_Int_zaS7NOSl"/>
      <w:proofErr w:type="gramStart"/>
      <w:r w:rsidRPr="112C7E4E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>3.</w:t>
      </w:r>
      <w:r w:rsidR="6447FB33" w:rsidRPr="112C7E4E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>3</w:t>
      </w:r>
      <w:r w:rsidRPr="112C7E4E">
        <w:rPr>
          <w:rFonts w:ascii="Arial" w:hAnsi="Arial" w:cs="Arial"/>
          <w:b/>
          <w:bCs/>
          <w:sz w:val="40"/>
          <w:szCs w:val="40"/>
          <w:shd w:val="clear" w:color="auto" w:fill="17365D" w:themeFill="text2" w:themeFillShade="BF"/>
        </w:rPr>
        <w:t xml:space="preserve"> </w:t>
      </w:r>
      <w:r w:rsidR="270B0FCF" w:rsidRPr="112C7E4E">
        <w:rPr>
          <w:rFonts w:ascii="Arial" w:hAnsi="Arial" w:cs="Arial"/>
          <w:b/>
          <w:bCs/>
          <w:sz w:val="40"/>
          <w:szCs w:val="40"/>
          <w:shd w:val="clear" w:color="auto" w:fill="17365D" w:themeFill="text2" w:themeFillShade="BF"/>
        </w:rPr>
        <w:t xml:space="preserve"> </w:t>
      </w:r>
      <w:r w:rsidR="63F1BF4D" w:rsidRPr="112C7E4E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>Performance</w:t>
      </w:r>
      <w:bookmarkEnd w:id="7"/>
      <w:proofErr w:type="gramEnd"/>
      <w:r w:rsidR="63F1BF4D" w:rsidRPr="112C7E4E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 xml:space="preserve"> of Internal Audit</w:t>
      </w:r>
      <w:r w:rsidR="508E5B83" w:rsidRPr="112C7E4E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 xml:space="preserve"> at </w:t>
      </w:r>
      <w:r w:rsidR="0033669A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>29 February 2024</w:t>
      </w:r>
      <w:r w:rsidR="270B0FCF" w:rsidRPr="112C7E4E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 xml:space="preserve">         </w:t>
      </w:r>
      <w:r w:rsidR="508E5B83" w:rsidRPr="112C7E4E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 xml:space="preserve"> </w:t>
      </w:r>
    </w:p>
    <w:p w14:paraId="027490A4" w14:textId="77777777"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4729C5" w14:textId="65F6CC69"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6D536EC0">
        <w:rPr>
          <w:rFonts w:ascii="Arial" w:hAnsi="Arial" w:cs="Arial"/>
        </w:rPr>
        <w:t xml:space="preserve">A number of Key Performance Indicators (KPIs) were agreed as part of the </w:t>
      </w:r>
      <w:r w:rsidR="002A4C79" w:rsidRPr="6D536EC0">
        <w:rPr>
          <w:rFonts w:ascii="Arial" w:hAnsi="Arial" w:cs="Arial"/>
        </w:rPr>
        <w:t>2023/24</w:t>
      </w:r>
      <w:r w:rsidRPr="6D536EC0">
        <w:rPr>
          <w:rFonts w:ascii="Arial" w:hAnsi="Arial" w:cs="Arial"/>
        </w:rPr>
        <w:t xml:space="preserve"> Internal Audit Plan</w:t>
      </w:r>
      <w:r w:rsidR="00642A05" w:rsidRPr="6D536EC0">
        <w:rPr>
          <w:rFonts w:ascii="Arial" w:hAnsi="Arial" w:cs="Arial"/>
        </w:rPr>
        <w:t>,</w:t>
      </w:r>
      <w:r w:rsidRPr="6D536EC0">
        <w:rPr>
          <w:rFonts w:ascii="Arial" w:hAnsi="Arial" w:cs="Arial"/>
        </w:rPr>
        <w:t xml:space="preserve"> performance against these </w:t>
      </w:r>
      <w:proofErr w:type="gramStart"/>
      <w:r w:rsidR="00D66B9B" w:rsidRPr="6D536EC0">
        <w:rPr>
          <w:rFonts w:ascii="Arial" w:hAnsi="Arial" w:cs="Arial"/>
        </w:rPr>
        <w:t>are</w:t>
      </w:r>
      <w:proofErr w:type="gramEnd"/>
      <w:r w:rsidRPr="6D536EC0">
        <w:rPr>
          <w:rFonts w:ascii="Arial" w:hAnsi="Arial" w:cs="Arial"/>
        </w:rPr>
        <w:t xml:space="preserve"> set out in </w:t>
      </w:r>
      <w:r w:rsidR="49F3B884" w:rsidRPr="6D536EC0">
        <w:rPr>
          <w:rFonts w:ascii="Arial" w:hAnsi="Arial" w:cs="Arial"/>
        </w:rPr>
        <w:t>T</w:t>
      </w:r>
      <w:r w:rsidRPr="6D536EC0">
        <w:rPr>
          <w:rFonts w:ascii="Arial" w:hAnsi="Arial" w:cs="Arial"/>
        </w:rPr>
        <w:t>able</w:t>
      </w:r>
      <w:r w:rsidR="0063663C">
        <w:rPr>
          <w:rFonts w:ascii="Arial" w:hAnsi="Arial" w:cs="Arial"/>
        </w:rPr>
        <w:t xml:space="preserve"> </w:t>
      </w:r>
      <w:r w:rsidR="5ECD7A8E" w:rsidRPr="6D536EC0">
        <w:rPr>
          <w:rFonts w:ascii="Arial" w:hAnsi="Arial" w:cs="Arial"/>
        </w:rPr>
        <w:t>5</w:t>
      </w:r>
      <w:r w:rsidRPr="6D536EC0">
        <w:rPr>
          <w:rFonts w:ascii="Arial" w:hAnsi="Arial" w:cs="Arial"/>
        </w:rPr>
        <w:t xml:space="preserve"> below</w:t>
      </w:r>
      <w:r w:rsidR="00D66B9B" w:rsidRPr="6D536EC0">
        <w:rPr>
          <w:rFonts w:ascii="Arial" w:hAnsi="Arial" w:cs="Arial"/>
        </w:rPr>
        <w:t>.</w:t>
      </w:r>
    </w:p>
    <w:p w14:paraId="25FC6342" w14:textId="2B501FF6" w:rsidR="6D536EC0" w:rsidRDefault="6D536EC0" w:rsidP="6D536EC0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537D7359" w14:textId="77777777" w:rsidR="0093333B" w:rsidRDefault="0093333B" w:rsidP="6D536EC0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192A1AE0" w14:textId="77777777" w:rsidR="002956A9" w:rsidRDefault="002956A9" w:rsidP="6D536EC0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161B1D75" w14:textId="77777777" w:rsidR="002956A9" w:rsidRDefault="002956A9" w:rsidP="6D536EC0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7571998B" w14:textId="77777777" w:rsidR="002956A9" w:rsidRDefault="002956A9" w:rsidP="6D536EC0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32C5BB2D" w14:textId="77777777" w:rsidR="002956A9" w:rsidRDefault="002956A9" w:rsidP="6D536EC0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383EE088" w14:textId="77777777" w:rsidR="002956A9" w:rsidRDefault="002956A9" w:rsidP="6D536EC0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47" w:type="dxa"/>
        <w:tblLayout w:type="fixed"/>
        <w:tblLook w:val="04A0" w:firstRow="1" w:lastRow="0" w:firstColumn="1" w:lastColumn="0" w:noHBand="0" w:noVBand="1"/>
      </w:tblPr>
      <w:tblGrid>
        <w:gridCol w:w="465"/>
        <w:gridCol w:w="4066"/>
        <w:gridCol w:w="1649"/>
        <w:gridCol w:w="1159"/>
        <w:gridCol w:w="2708"/>
      </w:tblGrid>
      <w:tr w:rsidR="00E4366B" w14:paraId="3DBA90B1" w14:textId="77777777" w:rsidTr="00734093">
        <w:tc>
          <w:tcPr>
            <w:tcW w:w="465" w:type="dxa"/>
            <w:shd w:val="clear" w:color="auto" w:fill="17365D" w:themeFill="text2" w:themeFillShade="BF"/>
          </w:tcPr>
          <w:p w14:paraId="3F1A430F" w14:textId="77777777"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66" w:type="dxa"/>
            <w:shd w:val="clear" w:color="auto" w:fill="17365D" w:themeFill="text2" w:themeFillShade="BF"/>
          </w:tcPr>
          <w:p w14:paraId="6D8B5DC7" w14:textId="77777777" w:rsidR="00E4366B" w:rsidRDefault="00E4366B" w:rsidP="001276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6D536EC0">
              <w:rPr>
                <w:rFonts w:ascii="Arial" w:hAnsi="Arial" w:cs="Arial"/>
                <w:b/>
              </w:rPr>
              <w:t xml:space="preserve">Internal Audit </w:t>
            </w:r>
          </w:p>
          <w:p w14:paraId="16999880" w14:textId="77777777"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6D536EC0">
              <w:rPr>
                <w:rFonts w:ascii="Arial" w:hAnsi="Arial" w:cs="Arial"/>
                <w:b/>
              </w:rPr>
              <w:t>Performance Indicator</w:t>
            </w:r>
          </w:p>
        </w:tc>
        <w:tc>
          <w:tcPr>
            <w:tcW w:w="1649" w:type="dxa"/>
            <w:shd w:val="clear" w:color="auto" w:fill="17365D" w:themeFill="text2" w:themeFillShade="BF"/>
          </w:tcPr>
          <w:p w14:paraId="1D7C2E0F" w14:textId="77777777" w:rsidR="00E4366B" w:rsidRDefault="33D28589" w:rsidP="112C7E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6D536EC0">
              <w:rPr>
                <w:rFonts w:ascii="Arial" w:hAnsi="Arial" w:cs="Arial"/>
                <w:b/>
              </w:rPr>
              <w:t>Target</w:t>
            </w:r>
          </w:p>
          <w:p w14:paraId="3FFFBAD5" w14:textId="4C7082A5" w:rsidR="00DA3B37" w:rsidRPr="007B0E1E" w:rsidRDefault="00DA3B37" w:rsidP="112C7E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shd w:val="clear" w:color="auto" w:fill="17365D" w:themeFill="text2" w:themeFillShade="BF"/>
          </w:tcPr>
          <w:p w14:paraId="50AF5EDC" w14:textId="1350C731" w:rsidR="00E4366B" w:rsidRPr="007B0E1E" w:rsidRDefault="2C10D1BE" w:rsidP="112C7E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6D536EC0">
              <w:rPr>
                <w:rFonts w:ascii="Arial" w:hAnsi="Arial" w:cs="Arial"/>
                <w:b/>
              </w:rPr>
              <w:t>Actual</w:t>
            </w:r>
            <w:r w:rsidR="2E33502D" w:rsidRPr="6D536EC0">
              <w:rPr>
                <w:rFonts w:ascii="Arial" w:hAnsi="Arial" w:cs="Arial"/>
                <w:b/>
              </w:rPr>
              <w:t xml:space="preserve"> to date</w:t>
            </w:r>
          </w:p>
        </w:tc>
        <w:tc>
          <w:tcPr>
            <w:tcW w:w="2708" w:type="dxa"/>
            <w:shd w:val="clear" w:color="auto" w:fill="17365D" w:themeFill="text2" w:themeFillShade="BF"/>
          </w:tcPr>
          <w:p w14:paraId="72D703D2" w14:textId="77777777"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6D536EC0">
              <w:rPr>
                <w:rFonts w:ascii="Arial" w:hAnsi="Arial" w:cs="Arial"/>
                <w:b/>
              </w:rPr>
              <w:t>Comments</w:t>
            </w:r>
          </w:p>
        </w:tc>
      </w:tr>
      <w:tr w:rsidR="00E4366B" w14:paraId="18E1BF5F" w14:textId="77777777" w:rsidTr="00734093">
        <w:tc>
          <w:tcPr>
            <w:tcW w:w="465" w:type="dxa"/>
          </w:tcPr>
          <w:p w14:paraId="394DA474" w14:textId="77777777" w:rsidR="00E4366B" w:rsidRPr="00244655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1</w:t>
            </w:r>
          </w:p>
        </w:tc>
        <w:tc>
          <w:tcPr>
            <w:tcW w:w="4066" w:type="dxa"/>
          </w:tcPr>
          <w:p w14:paraId="72AABAEC" w14:textId="77777777" w:rsidR="00E4366B" w:rsidRPr="00244655" w:rsidRDefault="00E4366B" w:rsidP="006D62BA">
            <w:pPr>
              <w:spacing w:after="0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Recommendations agreed for implementation</w:t>
            </w:r>
          </w:p>
        </w:tc>
        <w:tc>
          <w:tcPr>
            <w:tcW w:w="1649" w:type="dxa"/>
            <w:shd w:val="clear" w:color="auto" w:fill="auto"/>
          </w:tcPr>
          <w:p w14:paraId="1AD1E633" w14:textId="77777777" w:rsidR="00E4366B" w:rsidRPr="00244655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95%</w:t>
            </w:r>
          </w:p>
        </w:tc>
        <w:tc>
          <w:tcPr>
            <w:tcW w:w="1159" w:type="dxa"/>
            <w:shd w:val="clear" w:color="auto" w:fill="auto"/>
          </w:tcPr>
          <w:p w14:paraId="0178ECC0" w14:textId="4BB8A268" w:rsidR="00E4366B" w:rsidRPr="00B85561" w:rsidRDefault="0087728D" w:rsidP="007B0E1E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8A3033">
              <w:rPr>
                <w:rFonts w:ascii="Arial" w:hAnsi="Arial" w:cs="Arial"/>
              </w:rPr>
              <w:t>100%</w:t>
            </w:r>
          </w:p>
        </w:tc>
        <w:tc>
          <w:tcPr>
            <w:tcW w:w="2708" w:type="dxa"/>
            <w:shd w:val="clear" w:color="auto" w:fill="auto"/>
          </w:tcPr>
          <w:p w14:paraId="24101AD2" w14:textId="05BEBDEF" w:rsidR="00DC6470" w:rsidRPr="00244655" w:rsidRDefault="78AD7B62" w:rsidP="002A4C79">
            <w:pPr>
              <w:spacing w:after="0" w:line="240" w:lineRule="auto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Exceeded</w:t>
            </w:r>
          </w:p>
        </w:tc>
      </w:tr>
      <w:tr w:rsidR="00E4366B" w14:paraId="53F4D9A0" w14:textId="77777777" w:rsidTr="00734093">
        <w:tc>
          <w:tcPr>
            <w:tcW w:w="465" w:type="dxa"/>
          </w:tcPr>
          <w:p w14:paraId="27776FE0" w14:textId="77777777" w:rsidR="00E4366B" w:rsidRPr="00244655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2</w:t>
            </w:r>
          </w:p>
        </w:tc>
        <w:tc>
          <w:tcPr>
            <w:tcW w:w="4066" w:type="dxa"/>
          </w:tcPr>
          <w:p w14:paraId="2C0BA3BA" w14:textId="77777777" w:rsidR="00E4366B" w:rsidRPr="00244655" w:rsidRDefault="00E4366B" w:rsidP="00593142">
            <w:pPr>
              <w:spacing w:after="0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 xml:space="preserve">Follow up </w:t>
            </w:r>
            <w:r w:rsidR="00593142" w:rsidRPr="00244655">
              <w:rPr>
                <w:rFonts w:ascii="Arial" w:hAnsi="Arial" w:cs="Arial"/>
              </w:rPr>
              <w:t>undertaken</w:t>
            </w:r>
            <w:r w:rsidR="00C37D0C" w:rsidRPr="00244655">
              <w:rPr>
                <w:rFonts w:ascii="Arial" w:hAnsi="Arial" w:cs="Arial"/>
              </w:rPr>
              <w:t xml:space="preserve"> – Red &amp; Red/Amber Assurance Reports</w:t>
            </w:r>
          </w:p>
        </w:tc>
        <w:tc>
          <w:tcPr>
            <w:tcW w:w="1649" w:type="dxa"/>
            <w:shd w:val="clear" w:color="auto" w:fill="auto"/>
          </w:tcPr>
          <w:p w14:paraId="5594F35E" w14:textId="35F731D8" w:rsidR="00E4366B" w:rsidRPr="00244655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14:paraId="4E4948B5" w14:textId="732EC8D5" w:rsidR="007E1F76" w:rsidRPr="00B85561" w:rsidRDefault="007E1F76" w:rsidP="007B0E1E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08" w:type="dxa"/>
            <w:shd w:val="clear" w:color="auto" w:fill="auto"/>
          </w:tcPr>
          <w:p w14:paraId="32B7E5BA" w14:textId="66355E67" w:rsidR="00C37D0C" w:rsidRPr="00244655" w:rsidRDefault="5D33E547" w:rsidP="007E1F76">
            <w:pPr>
              <w:spacing w:after="0" w:line="240" w:lineRule="auto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All in progress, online to meet target</w:t>
            </w:r>
          </w:p>
        </w:tc>
      </w:tr>
      <w:tr w:rsidR="00C37D0C" w14:paraId="74E7F79B" w14:textId="77777777" w:rsidTr="00734093">
        <w:tc>
          <w:tcPr>
            <w:tcW w:w="465" w:type="dxa"/>
          </w:tcPr>
          <w:p w14:paraId="734DACC8" w14:textId="77777777" w:rsidR="00C37D0C" w:rsidRPr="00244655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3</w:t>
            </w:r>
          </w:p>
        </w:tc>
        <w:tc>
          <w:tcPr>
            <w:tcW w:w="4066" w:type="dxa"/>
          </w:tcPr>
          <w:p w14:paraId="05EA76D0" w14:textId="77777777" w:rsidR="00C37D0C" w:rsidRPr="00244655" w:rsidRDefault="00C37D0C" w:rsidP="00C173FD">
            <w:pPr>
              <w:spacing w:after="0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Follow up undertaken – Amber Assurance Reports</w:t>
            </w:r>
          </w:p>
        </w:tc>
        <w:tc>
          <w:tcPr>
            <w:tcW w:w="1649" w:type="dxa"/>
            <w:shd w:val="clear" w:color="auto" w:fill="auto"/>
          </w:tcPr>
          <w:p w14:paraId="5ADE24BD" w14:textId="335C2AB8" w:rsidR="00E44F8A" w:rsidRPr="00244655" w:rsidRDefault="37BA2082" w:rsidP="6D536E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56.25</w:t>
            </w:r>
            <w:r w:rsidR="7758CF80" w:rsidRPr="00244655">
              <w:rPr>
                <w:rFonts w:ascii="Arial" w:hAnsi="Arial" w:cs="Arial"/>
              </w:rPr>
              <w:t>%</w:t>
            </w:r>
          </w:p>
          <w:p w14:paraId="0EDCAA4F" w14:textId="5A399FB6" w:rsidR="00E44F8A" w:rsidRPr="00244655" w:rsidRDefault="00E44F8A" w:rsidP="00E958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4655">
              <w:rPr>
                <w:rFonts w:ascii="Arial" w:hAnsi="Arial" w:cs="Arial"/>
                <w:bCs/>
              </w:rPr>
              <w:t xml:space="preserve">(70% full </w:t>
            </w:r>
            <w:r w:rsidR="759E57E8" w:rsidRPr="00244655">
              <w:rPr>
                <w:rFonts w:ascii="Arial" w:hAnsi="Arial" w:cs="Arial"/>
              </w:rPr>
              <w:t>y</w:t>
            </w:r>
            <w:r w:rsidR="00E958AE" w:rsidRPr="00244655">
              <w:rPr>
                <w:rFonts w:ascii="Arial" w:hAnsi="Arial" w:cs="Arial"/>
              </w:rPr>
              <w:t>ea</w:t>
            </w:r>
            <w:r w:rsidR="759E57E8" w:rsidRPr="00244655">
              <w:rPr>
                <w:rFonts w:ascii="Arial" w:hAnsi="Arial" w:cs="Arial"/>
              </w:rPr>
              <w:t>r</w:t>
            </w:r>
            <w:r w:rsidRPr="0024465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59" w:type="dxa"/>
            <w:shd w:val="clear" w:color="auto" w:fill="auto"/>
          </w:tcPr>
          <w:p w14:paraId="427E5AA3" w14:textId="6CB9A0C7" w:rsidR="00C37D0C" w:rsidRPr="00B85561" w:rsidRDefault="00715B7C" w:rsidP="007B0E1E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715B7C">
              <w:rPr>
                <w:rFonts w:ascii="Arial" w:hAnsi="Arial" w:cs="Arial"/>
              </w:rPr>
              <w:t>83</w:t>
            </w:r>
            <w:r w:rsidR="008A6388" w:rsidRPr="00715B7C">
              <w:rPr>
                <w:rFonts w:ascii="Arial" w:hAnsi="Arial" w:cs="Arial"/>
              </w:rPr>
              <w:t>%</w:t>
            </w:r>
          </w:p>
        </w:tc>
        <w:tc>
          <w:tcPr>
            <w:tcW w:w="2708" w:type="dxa"/>
            <w:shd w:val="clear" w:color="auto" w:fill="auto"/>
          </w:tcPr>
          <w:p w14:paraId="0D78F8A8" w14:textId="3C6CE450" w:rsidR="00C37D0C" w:rsidRPr="00244655" w:rsidRDefault="1AE7A3B8" w:rsidP="001276E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44655">
              <w:rPr>
                <w:rFonts w:ascii="Arial" w:hAnsi="Arial" w:cs="Arial"/>
              </w:rPr>
              <w:t>Exceeded</w:t>
            </w:r>
          </w:p>
        </w:tc>
      </w:tr>
      <w:tr w:rsidR="00E4366B" w14:paraId="1A3F26EE" w14:textId="77777777" w:rsidTr="00734093">
        <w:tc>
          <w:tcPr>
            <w:tcW w:w="465" w:type="dxa"/>
          </w:tcPr>
          <w:p w14:paraId="0212E674" w14:textId="5C95CB4C" w:rsidR="00E4366B" w:rsidRPr="00244655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4</w:t>
            </w:r>
          </w:p>
        </w:tc>
        <w:tc>
          <w:tcPr>
            <w:tcW w:w="4066" w:type="dxa"/>
          </w:tcPr>
          <w:p w14:paraId="2A1FAE68" w14:textId="77777777" w:rsidR="00E4366B" w:rsidRPr="00244655" w:rsidRDefault="00E4366B" w:rsidP="00C173FD">
            <w:pPr>
              <w:spacing w:after="0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Plan achieved for key control reviews</w:t>
            </w:r>
          </w:p>
        </w:tc>
        <w:tc>
          <w:tcPr>
            <w:tcW w:w="1649" w:type="dxa"/>
            <w:shd w:val="clear" w:color="auto" w:fill="auto"/>
          </w:tcPr>
          <w:p w14:paraId="1C72A374" w14:textId="77777777" w:rsidR="00E4366B" w:rsidRPr="00244655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14:paraId="74F5512F" w14:textId="2A9BADF0" w:rsidR="00E4366B" w:rsidRPr="00B85561" w:rsidRDefault="00080FEB" w:rsidP="007B0E1E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715B7C">
              <w:rPr>
                <w:rFonts w:ascii="Arial" w:hAnsi="Arial" w:cs="Arial"/>
              </w:rPr>
              <w:t>100%</w:t>
            </w:r>
          </w:p>
        </w:tc>
        <w:tc>
          <w:tcPr>
            <w:tcW w:w="2708" w:type="dxa"/>
            <w:shd w:val="clear" w:color="auto" w:fill="auto"/>
          </w:tcPr>
          <w:p w14:paraId="4AA79655" w14:textId="0AAA9F86" w:rsidR="00E4366B" w:rsidRPr="00244655" w:rsidRDefault="1CECC852" w:rsidP="523A79D0">
            <w:pPr>
              <w:spacing w:after="0" w:line="240" w:lineRule="auto"/>
              <w:ind w:right="-180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Achieved</w:t>
            </w:r>
          </w:p>
        </w:tc>
      </w:tr>
      <w:tr w:rsidR="00E4366B" w14:paraId="49276C47" w14:textId="77777777" w:rsidTr="00734093">
        <w:trPr>
          <w:trHeight w:val="300"/>
        </w:trPr>
        <w:tc>
          <w:tcPr>
            <w:tcW w:w="465" w:type="dxa"/>
          </w:tcPr>
          <w:p w14:paraId="03C54019" w14:textId="77777777" w:rsidR="00E4366B" w:rsidRPr="00244655" w:rsidRDefault="00C37D0C" w:rsidP="007B0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5</w:t>
            </w:r>
          </w:p>
        </w:tc>
        <w:tc>
          <w:tcPr>
            <w:tcW w:w="4066" w:type="dxa"/>
          </w:tcPr>
          <w:p w14:paraId="4138A512" w14:textId="77777777" w:rsidR="00E4366B" w:rsidRPr="00244655" w:rsidRDefault="00E4366B" w:rsidP="00C173FD">
            <w:pPr>
              <w:spacing w:after="0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Plan achieved overall (key indicator)</w:t>
            </w:r>
          </w:p>
        </w:tc>
        <w:tc>
          <w:tcPr>
            <w:tcW w:w="1649" w:type="dxa"/>
            <w:shd w:val="clear" w:color="auto" w:fill="auto"/>
          </w:tcPr>
          <w:p w14:paraId="351AA8FB" w14:textId="0A7B7171" w:rsidR="00E4366B" w:rsidRPr="00244655" w:rsidRDefault="00DA3B37" w:rsidP="00DA3B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45</w:t>
            </w:r>
            <w:r w:rsidR="00E4366B" w:rsidRPr="00244655">
              <w:rPr>
                <w:rFonts w:ascii="Arial" w:hAnsi="Arial" w:cs="Arial"/>
              </w:rPr>
              <w:t>%</w:t>
            </w:r>
          </w:p>
          <w:p w14:paraId="352180E7" w14:textId="5CBD3073" w:rsidR="00E44F8A" w:rsidRPr="00244655" w:rsidRDefault="00E44F8A" w:rsidP="00E958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44655">
              <w:rPr>
                <w:rFonts w:ascii="Arial" w:hAnsi="Arial" w:cs="Arial"/>
                <w:bCs/>
              </w:rPr>
              <w:t xml:space="preserve">(90% full </w:t>
            </w:r>
            <w:r w:rsidR="759E57E8" w:rsidRPr="00244655">
              <w:rPr>
                <w:rFonts w:ascii="Arial" w:hAnsi="Arial" w:cs="Arial"/>
              </w:rPr>
              <w:t>y</w:t>
            </w:r>
            <w:r w:rsidR="00E958AE" w:rsidRPr="00244655">
              <w:rPr>
                <w:rFonts w:ascii="Arial" w:hAnsi="Arial" w:cs="Arial"/>
              </w:rPr>
              <w:t>ea</w:t>
            </w:r>
            <w:r w:rsidR="759E57E8" w:rsidRPr="00244655">
              <w:rPr>
                <w:rFonts w:ascii="Arial" w:hAnsi="Arial" w:cs="Arial"/>
              </w:rPr>
              <w:t>r</w:t>
            </w:r>
            <w:r w:rsidRPr="0024465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59" w:type="dxa"/>
            <w:shd w:val="clear" w:color="auto" w:fill="auto"/>
          </w:tcPr>
          <w:p w14:paraId="615ADDD5" w14:textId="21C50FFA" w:rsidR="00E4366B" w:rsidRPr="00B85561" w:rsidRDefault="00946D21" w:rsidP="01FCB4B2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46D21">
              <w:rPr>
                <w:rFonts w:ascii="Arial" w:hAnsi="Arial" w:cs="Arial"/>
              </w:rPr>
              <w:t>75</w:t>
            </w:r>
            <w:r w:rsidR="036D10A3" w:rsidRPr="00946D21">
              <w:rPr>
                <w:rFonts w:ascii="Arial" w:hAnsi="Arial" w:cs="Arial"/>
              </w:rPr>
              <w:t>%</w:t>
            </w:r>
          </w:p>
        </w:tc>
        <w:tc>
          <w:tcPr>
            <w:tcW w:w="2708" w:type="dxa"/>
            <w:shd w:val="clear" w:color="auto" w:fill="auto"/>
          </w:tcPr>
          <w:p w14:paraId="26453C4F" w14:textId="294114DA" w:rsidR="00E4366B" w:rsidRPr="00244655" w:rsidRDefault="1FA9F5F2" w:rsidP="002A4C79">
            <w:pPr>
              <w:spacing w:after="0" w:line="240" w:lineRule="auto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Exceeded</w:t>
            </w:r>
          </w:p>
        </w:tc>
      </w:tr>
      <w:tr w:rsidR="00E4366B" w14:paraId="24DF3A32" w14:textId="77777777" w:rsidTr="00734093">
        <w:tc>
          <w:tcPr>
            <w:tcW w:w="465" w:type="dxa"/>
            <w:shd w:val="clear" w:color="auto" w:fill="17365D" w:themeFill="text2" w:themeFillShade="BF"/>
          </w:tcPr>
          <w:p w14:paraId="0871C7DF" w14:textId="77777777" w:rsidR="00E4366B" w:rsidRPr="007B0E1E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17365D" w:themeFill="text2" w:themeFillShade="BF"/>
            <w:vAlign w:val="bottom"/>
          </w:tcPr>
          <w:p w14:paraId="6F4C7E4B" w14:textId="06965634" w:rsidR="00E4366B" w:rsidRPr="00B955EC" w:rsidRDefault="00E4366B" w:rsidP="00CD5E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6D536EC0">
              <w:rPr>
                <w:rFonts w:ascii="Arial" w:hAnsi="Arial" w:cs="Arial"/>
                <w:b/>
              </w:rPr>
              <w:t>Corporate Performance Indicator</w:t>
            </w:r>
          </w:p>
        </w:tc>
        <w:tc>
          <w:tcPr>
            <w:tcW w:w="1649" w:type="dxa"/>
            <w:shd w:val="clear" w:color="auto" w:fill="17365D" w:themeFill="text2" w:themeFillShade="BF"/>
          </w:tcPr>
          <w:p w14:paraId="6495F24A" w14:textId="77777777" w:rsidR="00E4366B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17365D" w:themeFill="text2" w:themeFillShade="BF"/>
          </w:tcPr>
          <w:p w14:paraId="677CE236" w14:textId="77777777" w:rsidR="00E4366B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17365D" w:themeFill="text2" w:themeFillShade="BF"/>
          </w:tcPr>
          <w:p w14:paraId="3CFF2FF2" w14:textId="77777777" w:rsidR="00E4366B" w:rsidRPr="00E36743" w:rsidRDefault="00E4366B" w:rsidP="523A79D0">
            <w:pPr>
              <w:spacing w:after="0" w:line="240" w:lineRule="auto"/>
              <w:ind w:right="-18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4366B" w14:paraId="021A78F5" w14:textId="77777777" w:rsidTr="00734093">
        <w:trPr>
          <w:trHeight w:val="300"/>
        </w:trPr>
        <w:tc>
          <w:tcPr>
            <w:tcW w:w="465" w:type="dxa"/>
          </w:tcPr>
          <w:p w14:paraId="22C85D7E" w14:textId="77777777" w:rsidR="00E4366B" w:rsidRPr="00244655" w:rsidRDefault="00E4366B" w:rsidP="00E43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1</w:t>
            </w:r>
          </w:p>
        </w:tc>
        <w:tc>
          <w:tcPr>
            <w:tcW w:w="4066" w:type="dxa"/>
          </w:tcPr>
          <w:p w14:paraId="7BB76FA1" w14:textId="77777777" w:rsidR="00E4366B" w:rsidRPr="00244655" w:rsidRDefault="00E4366B" w:rsidP="00FB2832">
            <w:pPr>
              <w:spacing w:after="0"/>
              <w:rPr>
                <w:rFonts w:ascii="Arial" w:hAnsi="Arial" w:cs="Arial"/>
              </w:rPr>
            </w:pPr>
            <w:r w:rsidRPr="00244655">
              <w:rPr>
                <w:rFonts w:ascii="Arial" w:hAnsi="Arial" w:cs="Arial"/>
              </w:rPr>
              <w:t>Implementation of recommendations</w:t>
            </w:r>
          </w:p>
        </w:tc>
        <w:tc>
          <w:tcPr>
            <w:tcW w:w="1649" w:type="dxa"/>
          </w:tcPr>
          <w:p w14:paraId="474270EB" w14:textId="77777777" w:rsidR="00E4366B" w:rsidRPr="00244655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44655">
              <w:rPr>
                <w:rFonts w:ascii="Arial" w:hAnsi="Arial" w:cs="Arial"/>
              </w:rPr>
              <w:t>90%</w:t>
            </w:r>
          </w:p>
        </w:tc>
        <w:tc>
          <w:tcPr>
            <w:tcW w:w="1159" w:type="dxa"/>
            <w:shd w:val="clear" w:color="auto" w:fill="auto"/>
          </w:tcPr>
          <w:p w14:paraId="5AF2C3E8" w14:textId="07FDAA88" w:rsidR="007226D6" w:rsidRPr="00ED4427" w:rsidRDefault="00D273E4" w:rsidP="00722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73E4">
              <w:rPr>
                <w:rFonts w:ascii="Arial" w:hAnsi="Arial" w:cs="Arial"/>
              </w:rPr>
              <w:t>7</w:t>
            </w:r>
            <w:r w:rsidR="00A70CB9" w:rsidRPr="00D273E4">
              <w:rPr>
                <w:rFonts w:ascii="Arial" w:hAnsi="Arial" w:cs="Arial"/>
              </w:rPr>
              <w:t>4%</w:t>
            </w:r>
          </w:p>
        </w:tc>
        <w:tc>
          <w:tcPr>
            <w:tcW w:w="2708" w:type="dxa"/>
          </w:tcPr>
          <w:p w14:paraId="2E440256" w14:textId="6564EF1C" w:rsidR="00E4366B" w:rsidRPr="00ED4427" w:rsidRDefault="00BC7122" w:rsidP="00371F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to meet target</w:t>
            </w:r>
          </w:p>
        </w:tc>
      </w:tr>
    </w:tbl>
    <w:p w14:paraId="5A95234E" w14:textId="6EC9CDB1" w:rsidR="349C2AF7" w:rsidRDefault="349C2AF7" w:rsidP="6D536EC0">
      <w:pPr>
        <w:spacing w:after="0" w:line="240" w:lineRule="auto"/>
        <w:ind w:left="8640" w:firstLine="720"/>
        <w:rPr>
          <w:rFonts w:ascii="Arial" w:eastAsia="+mn-ea" w:hAnsi="Arial" w:cs="Arial"/>
          <w:color w:val="000000" w:themeColor="text1"/>
          <w:sz w:val="24"/>
          <w:szCs w:val="24"/>
          <w:lang w:eastAsia="en-GB"/>
        </w:rPr>
      </w:pPr>
      <w:r w:rsidRPr="6D536EC0">
        <w:rPr>
          <w:rFonts w:ascii="Arial" w:eastAsia="+mn-ea" w:hAnsi="Arial" w:cs="Arial"/>
          <w:color w:val="000000" w:themeColor="text1"/>
          <w:sz w:val="16"/>
          <w:szCs w:val="16"/>
          <w:lang w:eastAsia="en-GB"/>
        </w:rPr>
        <w:t>Table 5</w:t>
      </w:r>
    </w:p>
    <w:p w14:paraId="17FC44D5" w14:textId="77777777" w:rsidR="002956A9" w:rsidRDefault="002956A9" w:rsidP="007226D6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5503248B" w14:textId="5F389014" w:rsidR="00BE2404" w:rsidRDefault="2D8F0003" w:rsidP="007226D6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6D536EC0">
        <w:rPr>
          <w:rFonts w:ascii="Arial" w:hAnsi="Arial" w:cs="Arial"/>
        </w:rPr>
        <w:t xml:space="preserve">Of </w:t>
      </w:r>
      <w:r w:rsidRPr="001B2189">
        <w:rPr>
          <w:rFonts w:ascii="Arial" w:hAnsi="Arial" w:cs="Arial"/>
        </w:rPr>
        <w:t xml:space="preserve">the </w:t>
      </w:r>
      <w:r w:rsidR="56768895" w:rsidRPr="001B2189">
        <w:rPr>
          <w:rFonts w:ascii="Arial" w:hAnsi="Arial" w:cs="Arial"/>
        </w:rPr>
        <w:t>six</w:t>
      </w:r>
      <w:r w:rsidRPr="001B2189">
        <w:rPr>
          <w:rFonts w:ascii="Arial" w:hAnsi="Arial" w:cs="Arial"/>
        </w:rPr>
        <w:t xml:space="preserve"> internal audit performance indicators</w:t>
      </w:r>
      <w:r w:rsidR="0B88A8BE" w:rsidRPr="001B2189">
        <w:rPr>
          <w:rFonts w:ascii="Arial" w:hAnsi="Arial" w:cs="Arial"/>
        </w:rPr>
        <w:t xml:space="preserve"> three </w:t>
      </w:r>
      <w:r w:rsidRPr="001B2189">
        <w:rPr>
          <w:rFonts w:ascii="Arial" w:hAnsi="Arial" w:cs="Arial"/>
        </w:rPr>
        <w:t>w</w:t>
      </w:r>
      <w:r w:rsidR="68F67721" w:rsidRPr="001B2189">
        <w:rPr>
          <w:rFonts w:ascii="Arial" w:hAnsi="Arial" w:cs="Arial"/>
        </w:rPr>
        <w:t>ere</w:t>
      </w:r>
      <w:r w:rsidRPr="001B2189">
        <w:rPr>
          <w:rFonts w:ascii="Arial" w:hAnsi="Arial" w:cs="Arial"/>
        </w:rPr>
        <w:t xml:space="preserve"> exceeded</w:t>
      </w:r>
      <w:r w:rsidR="68F67721" w:rsidRPr="001B2189">
        <w:rPr>
          <w:rFonts w:ascii="Arial" w:hAnsi="Arial" w:cs="Arial"/>
        </w:rPr>
        <w:t xml:space="preserve"> and </w:t>
      </w:r>
      <w:r w:rsidR="3BA153A9" w:rsidRPr="001B2189">
        <w:rPr>
          <w:rFonts w:ascii="Arial" w:hAnsi="Arial" w:cs="Arial"/>
        </w:rPr>
        <w:t xml:space="preserve">one </w:t>
      </w:r>
      <w:r w:rsidRPr="001B2189">
        <w:rPr>
          <w:rFonts w:ascii="Arial" w:hAnsi="Arial" w:cs="Arial"/>
        </w:rPr>
        <w:t>w</w:t>
      </w:r>
      <w:r w:rsidR="698EF72F" w:rsidRPr="001B2189">
        <w:rPr>
          <w:rFonts w:ascii="Arial" w:hAnsi="Arial" w:cs="Arial"/>
        </w:rPr>
        <w:t>as</w:t>
      </w:r>
      <w:r w:rsidRPr="001B2189">
        <w:rPr>
          <w:rFonts w:ascii="Arial" w:hAnsi="Arial" w:cs="Arial"/>
        </w:rPr>
        <w:t xml:space="preserve"> met</w:t>
      </w:r>
      <w:r w:rsidR="00AC7F4D" w:rsidRPr="001B2189">
        <w:rPr>
          <w:rFonts w:ascii="Arial" w:hAnsi="Arial" w:cs="Arial"/>
        </w:rPr>
        <w:t xml:space="preserve"> with the final two expected to meet the target by the end of the financial year</w:t>
      </w:r>
      <w:r w:rsidR="093E7516" w:rsidRPr="001B2189">
        <w:rPr>
          <w:rFonts w:ascii="Arial" w:hAnsi="Arial" w:cs="Arial"/>
        </w:rPr>
        <w:t>.</w:t>
      </w:r>
    </w:p>
    <w:p w14:paraId="1223E969" w14:textId="77777777" w:rsidR="00734093" w:rsidRDefault="00734093" w:rsidP="007226D6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71C8486" w14:textId="0192601B" w:rsidR="00BE0E5C" w:rsidRDefault="29A1FB26" w:rsidP="16C7B9D5">
      <w:pPr>
        <w:shd w:val="clear" w:color="auto" w:fill="00206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16C7B9D5">
        <w:rPr>
          <w:rFonts w:ascii="Arial" w:hAnsi="Arial" w:cs="Arial"/>
          <w:b/>
          <w:bCs/>
          <w:sz w:val="32"/>
          <w:szCs w:val="32"/>
        </w:rPr>
        <w:t xml:space="preserve">3.4  </w:t>
      </w:r>
      <w:r w:rsidR="08FBF434" w:rsidRPr="16C7B9D5">
        <w:rPr>
          <w:rFonts w:ascii="Arial" w:hAnsi="Arial" w:cs="Arial"/>
          <w:b/>
          <w:bCs/>
          <w:sz w:val="32"/>
          <w:szCs w:val="32"/>
        </w:rPr>
        <w:t xml:space="preserve">   </w:t>
      </w:r>
      <w:r w:rsidRPr="16C7B9D5">
        <w:rPr>
          <w:rFonts w:ascii="Arial" w:hAnsi="Arial" w:cs="Arial"/>
          <w:b/>
          <w:bCs/>
          <w:sz w:val="32"/>
          <w:szCs w:val="32"/>
        </w:rPr>
        <w:t xml:space="preserve">Summary of the </w:t>
      </w:r>
      <w:r w:rsidR="00B779BF">
        <w:rPr>
          <w:rFonts w:ascii="Arial" w:hAnsi="Arial" w:cs="Arial"/>
          <w:b/>
          <w:bCs/>
          <w:sz w:val="32"/>
          <w:szCs w:val="32"/>
        </w:rPr>
        <w:t xml:space="preserve">UK </w:t>
      </w:r>
      <w:r w:rsidRPr="16C7B9D5">
        <w:rPr>
          <w:rFonts w:ascii="Arial" w:hAnsi="Arial" w:cs="Arial"/>
          <w:b/>
          <w:bCs/>
          <w:sz w:val="32"/>
          <w:szCs w:val="32"/>
        </w:rPr>
        <w:t xml:space="preserve">Public Sector Internal Audit Standards </w:t>
      </w:r>
    </w:p>
    <w:p w14:paraId="04388086" w14:textId="6D40846C" w:rsidR="00BE0E5C" w:rsidRDefault="29A1FB26" w:rsidP="16C7B9D5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16C7B9D5">
        <w:rPr>
          <w:rFonts w:ascii="Arial" w:hAnsi="Arial" w:cs="Arial"/>
          <w:b/>
          <w:bCs/>
          <w:sz w:val="32"/>
          <w:szCs w:val="32"/>
        </w:rPr>
        <w:t>Self</w:t>
      </w:r>
      <w:r w:rsidR="78FEBE51" w:rsidRPr="16C7B9D5">
        <w:rPr>
          <w:rFonts w:ascii="Arial" w:hAnsi="Arial" w:cs="Arial"/>
          <w:b/>
          <w:bCs/>
          <w:sz w:val="32"/>
          <w:szCs w:val="32"/>
        </w:rPr>
        <w:t>-</w:t>
      </w:r>
      <w:r w:rsidRPr="16C7B9D5">
        <w:rPr>
          <w:rFonts w:ascii="Arial" w:hAnsi="Arial" w:cs="Arial"/>
          <w:b/>
          <w:bCs/>
          <w:sz w:val="32"/>
          <w:szCs w:val="32"/>
        </w:rPr>
        <w:t>Assessment</w:t>
      </w:r>
      <w:r w:rsidR="584498F1" w:rsidRPr="16C7B9D5">
        <w:rPr>
          <w:rFonts w:ascii="Arial" w:hAnsi="Arial" w:cs="Arial"/>
          <w:b/>
          <w:bCs/>
          <w:sz w:val="32"/>
          <w:szCs w:val="32"/>
        </w:rPr>
        <w:t xml:space="preserve"> Review</w:t>
      </w:r>
      <w:r w:rsidR="00B779BF">
        <w:rPr>
          <w:rFonts w:ascii="Arial" w:hAnsi="Arial" w:cs="Arial"/>
          <w:b/>
          <w:bCs/>
          <w:sz w:val="32"/>
          <w:szCs w:val="32"/>
        </w:rPr>
        <w:t xml:space="preserve"> 2023</w:t>
      </w:r>
    </w:p>
    <w:p w14:paraId="5B0F1220" w14:textId="77777777" w:rsidR="00BE0E5C" w:rsidRDefault="00BE0E5C" w:rsidP="007226D6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BCB9DEA" w14:textId="7F07FCF7" w:rsidR="00BE0E5C" w:rsidRDefault="584498F1" w:rsidP="240375E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16C7B9D5">
        <w:rPr>
          <w:rFonts w:ascii="Arial" w:hAnsi="Arial" w:cs="Arial"/>
        </w:rPr>
        <w:t xml:space="preserve">The </w:t>
      </w:r>
      <w:r w:rsidR="00B779BF">
        <w:rPr>
          <w:rFonts w:ascii="Arial" w:hAnsi="Arial" w:cs="Arial"/>
        </w:rPr>
        <w:t xml:space="preserve">UK </w:t>
      </w:r>
      <w:r w:rsidRPr="16C7B9D5">
        <w:rPr>
          <w:rFonts w:ascii="Arial" w:hAnsi="Arial" w:cs="Arial"/>
        </w:rPr>
        <w:t xml:space="preserve">Public Sector Internal Audit Standards (PSIAS) </w:t>
      </w:r>
      <w:r w:rsidR="34C604DA" w:rsidRPr="16C7B9D5">
        <w:rPr>
          <w:rFonts w:ascii="Arial" w:hAnsi="Arial" w:cs="Arial"/>
        </w:rPr>
        <w:t xml:space="preserve">requires local authorities to undertake periodic </w:t>
      </w:r>
      <w:r w:rsidR="60CD9432" w:rsidRPr="16C7B9D5">
        <w:rPr>
          <w:rFonts w:ascii="Arial" w:hAnsi="Arial" w:cs="Arial"/>
        </w:rPr>
        <w:t>self-assessments</w:t>
      </w:r>
      <w:r w:rsidR="34C604DA" w:rsidRPr="16C7B9D5">
        <w:rPr>
          <w:rFonts w:ascii="Arial" w:hAnsi="Arial" w:cs="Arial"/>
        </w:rPr>
        <w:t xml:space="preserve"> and externally validated assessments </w:t>
      </w:r>
      <w:r w:rsidR="21B661F9" w:rsidRPr="16C7B9D5">
        <w:rPr>
          <w:rFonts w:ascii="Arial" w:hAnsi="Arial" w:cs="Arial"/>
        </w:rPr>
        <w:t xml:space="preserve">every five years </w:t>
      </w:r>
      <w:r w:rsidR="34C604DA" w:rsidRPr="16C7B9D5">
        <w:rPr>
          <w:rFonts w:ascii="Arial" w:hAnsi="Arial" w:cs="Arial"/>
        </w:rPr>
        <w:t>as part of the Quality Assuran</w:t>
      </w:r>
      <w:r w:rsidR="677D6D71" w:rsidRPr="16C7B9D5">
        <w:rPr>
          <w:rFonts w:ascii="Arial" w:hAnsi="Arial" w:cs="Arial"/>
        </w:rPr>
        <w:t>c</w:t>
      </w:r>
      <w:r w:rsidR="34C604DA" w:rsidRPr="16C7B9D5">
        <w:rPr>
          <w:rFonts w:ascii="Arial" w:hAnsi="Arial" w:cs="Arial"/>
        </w:rPr>
        <w:t>e and Improvement Prog</w:t>
      </w:r>
      <w:r w:rsidR="5241C064" w:rsidRPr="16C7B9D5">
        <w:rPr>
          <w:rFonts w:ascii="Arial" w:hAnsi="Arial" w:cs="Arial"/>
        </w:rPr>
        <w:t>ramme of the</w:t>
      </w:r>
      <w:r w:rsidR="1EFA0B6B" w:rsidRPr="16C7B9D5">
        <w:rPr>
          <w:rFonts w:ascii="Arial" w:hAnsi="Arial" w:cs="Arial"/>
        </w:rPr>
        <w:t xml:space="preserve"> authority’s </w:t>
      </w:r>
      <w:r w:rsidR="5241C064" w:rsidRPr="16C7B9D5">
        <w:rPr>
          <w:rFonts w:ascii="Arial" w:hAnsi="Arial" w:cs="Arial"/>
        </w:rPr>
        <w:t>internal audit service.</w:t>
      </w:r>
      <w:r w:rsidR="3029838E" w:rsidRPr="16C7B9D5">
        <w:rPr>
          <w:rFonts w:ascii="Arial" w:hAnsi="Arial" w:cs="Arial"/>
        </w:rPr>
        <w:t xml:space="preserve">  </w:t>
      </w:r>
      <w:r w:rsidR="4CEE71F5" w:rsidRPr="240375ED">
        <w:rPr>
          <w:rFonts w:ascii="Arial" w:hAnsi="Arial" w:cs="Arial"/>
        </w:rPr>
        <w:t>The</w:t>
      </w:r>
      <w:r w:rsidR="3029838E" w:rsidRPr="16C7B9D5">
        <w:rPr>
          <w:rFonts w:ascii="Arial" w:hAnsi="Arial" w:cs="Arial"/>
        </w:rPr>
        <w:t xml:space="preserve"> last </w:t>
      </w:r>
      <w:r w:rsidR="3029838E" w:rsidRPr="240375ED">
        <w:rPr>
          <w:rFonts w:ascii="Arial" w:hAnsi="Arial" w:cs="Arial"/>
        </w:rPr>
        <w:t xml:space="preserve">external assessment </w:t>
      </w:r>
      <w:r w:rsidR="12C14197" w:rsidRPr="240375ED">
        <w:rPr>
          <w:rFonts w:ascii="Arial" w:hAnsi="Arial" w:cs="Arial"/>
        </w:rPr>
        <w:t xml:space="preserve">took place </w:t>
      </w:r>
      <w:r w:rsidR="72DF0A52" w:rsidRPr="240375ED">
        <w:rPr>
          <w:rFonts w:ascii="Arial" w:hAnsi="Arial" w:cs="Arial"/>
        </w:rPr>
        <w:t>in 2017</w:t>
      </w:r>
      <w:r w:rsidR="204058F3" w:rsidRPr="240375ED">
        <w:rPr>
          <w:rFonts w:ascii="Arial" w:hAnsi="Arial" w:cs="Arial"/>
        </w:rPr>
        <w:t xml:space="preserve">, </w:t>
      </w:r>
      <w:r w:rsidR="3029838E" w:rsidRPr="240375ED">
        <w:rPr>
          <w:rFonts w:ascii="Arial" w:hAnsi="Arial" w:cs="Arial"/>
        </w:rPr>
        <w:t xml:space="preserve">a self-assessment was undertaken </w:t>
      </w:r>
      <w:r w:rsidR="4CC165B1" w:rsidRPr="240375ED">
        <w:rPr>
          <w:rFonts w:ascii="Arial" w:hAnsi="Arial" w:cs="Arial"/>
        </w:rPr>
        <w:t>during</w:t>
      </w:r>
      <w:r w:rsidR="3029838E" w:rsidRPr="240375ED">
        <w:rPr>
          <w:rFonts w:ascii="Arial" w:hAnsi="Arial" w:cs="Arial"/>
        </w:rPr>
        <w:t xml:space="preserve"> </w:t>
      </w:r>
      <w:r w:rsidR="7295C777" w:rsidRPr="240375ED">
        <w:rPr>
          <w:rFonts w:ascii="Arial" w:hAnsi="Arial" w:cs="Arial"/>
        </w:rPr>
        <w:t>2019</w:t>
      </w:r>
      <w:r w:rsidR="3029838E" w:rsidRPr="240375ED">
        <w:rPr>
          <w:rFonts w:ascii="Arial" w:hAnsi="Arial" w:cs="Arial"/>
        </w:rPr>
        <w:t xml:space="preserve">.  </w:t>
      </w:r>
    </w:p>
    <w:p w14:paraId="0857A1BB" w14:textId="77777777" w:rsidR="006D6190" w:rsidRDefault="006D6190" w:rsidP="240375E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14:paraId="1705C13B" w14:textId="116FC7FB" w:rsidR="20A84003" w:rsidRPr="00D9018F" w:rsidRDefault="3EBA1A1C" w:rsidP="240375E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240375ED">
        <w:rPr>
          <w:rFonts w:ascii="Arial" w:hAnsi="Arial" w:cs="Arial"/>
        </w:rPr>
        <w:t>The Interim Head of Internal Audit &amp; CAFT has recently undertaken a self</w:t>
      </w:r>
      <w:r w:rsidR="1CC6FFD6" w:rsidRPr="240375ED">
        <w:rPr>
          <w:rFonts w:ascii="Arial" w:hAnsi="Arial" w:cs="Arial"/>
        </w:rPr>
        <w:t>-</w:t>
      </w:r>
      <w:r w:rsidRPr="240375ED">
        <w:rPr>
          <w:rFonts w:ascii="Arial" w:hAnsi="Arial" w:cs="Arial"/>
        </w:rPr>
        <w:t>assessment</w:t>
      </w:r>
      <w:r w:rsidR="1139F852" w:rsidRPr="240375ED">
        <w:rPr>
          <w:rFonts w:ascii="Arial" w:hAnsi="Arial" w:cs="Arial"/>
        </w:rPr>
        <w:t xml:space="preserve">. </w:t>
      </w:r>
      <w:r w:rsidRPr="240375ED">
        <w:rPr>
          <w:rFonts w:ascii="Arial" w:hAnsi="Arial" w:cs="Arial"/>
        </w:rPr>
        <w:t xml:space="preserve"> </w:t>
      </w:r>
      <w:r w:rsidR="20A84003" w:rsidRPr="16C7B9D5">
        <w:rPr>
          <w:rFonts w:ascii="Arial" w:hAnsi="Arial" w:cs="Arial"/>
        </w:rPr>
        <w:t xml:space="preserve">The </w:t>
      </w:r>
      <w:r w:rsidR="3F0BEB86" w:rsidRPr="16C7B9D5">
        <w:rPr>
          <w:rFonts w:ascii="Arial" w:hAnsi="Arial" w:cs="Arial"/>
        </w:rPr>
        <w:t xml:space="preserve">findings of the </w:t>
      </w:r>
      <w:r w:rsidR="20A84003" w:rsidRPr="16C7B9D5">
        <w:rPr>
          <w:rFonts w:ascii="Arial" w:hAnsi="Arial" w:cs="Arial"/>
        </w:rPr>
        <w:t xml:space="preserve">assessment </w:t>
      </w:r>
      <w:r w:rsidR="0A3968EA" w:rsidRPr="16C7B9D5">
        <w:rPr>
          <w:rFonts w:ascii="Arial" w:hAnsi="Arial" w:cs="Arial"/>
        </w:rPr>
        <w:t>are t</w:t>
      </w:r>
      <w:r w:rsidR="20A84003" w:rsidRPr="16C7B9D5">
        <w:rPr>
          <w:rFonts w:ascii="Arial" w:hAnsi="Arial" w:cs="Arial"/>
        </w:rPr>
        <w:t xml:space="preserve">hat </w:t>
      </w:r>
      <w:r w:rsidR="6F406703" w:rsidRPr="240375ED">
        <w:rPr>
          <w:rFonts w:ascii="Arial" w:hAnsi="Arial" w:cs="Arial"/>
        </w:rPr>
        <w:t xml:space="preserve">although </w:t>
      </w:r>
      <w:r w:rsidR="20A84003" w:rsidRPr="16C7B9D5">
        <w:rPr>
          <w:rFonts w:ascii="Arial" w:hAnsi="Arial" w:cs="Arial"/>
        </w:rPr>
        <w:t xml:space="preserve">Harrow’s Internal Audit Service </w:t>
      </w:r>
      <w:r w:rsidR="742BF604" w:rsidRPr="240375ED">
        <w:rPr>
          <w:rFonts w:ascii="Arial" w:hAnsi="Arial" w:cs="Arial"/>
        </w:rPr>
        <w:t xml:space="preserve">was </w:t>
      </w:r>
      <w:r w:rsidR="04013127" w:rsidRPr="240375ED">
        <w:rPr>
          <w:rFonts w:ascii="Arial" w:hAnsi="Arial" w:cs="Arial"/>
        </w:rPr>
        <w:t>non-</w:t>
      </w:r>
      <w:r w:rsidR="742BF604" w:rsidRPr="240375ED">
        <w:rPr>
          <w:rFonts w:ascii="Arial" w:hAnsi="Arial" w:cs="Arial"/>
        </w:rPr>
        <w:t>compliant</w:t>
      </w:r>
      <w:r w:rsidR="6661CBB7" w:rsidRPr="240375ED">
        <w:rPr>
          <w:rFonts w:ascii="Arial" w:hAnsi="Arial" w:cs="Arial"/>
        </w:rPr>
        <w:t xml:space="preserve"> with the standards</w:t>
      </w:r>
      <w:r w:rsidR="742BF604" w:rsidRPr="240375ED">
        <w:rPr>
          <w:rFonts w:ascii="Arial" w:hAnsi="Arial" w:cs="Arial"/>
        </w:rPr>
        <w:t xml:space="preserve"> due to the length of time since an assessment was undertaken</w:t>
      </w:r>
      <w:r w:rsidR="5FF0C387" w:rsidRPr="240375ED">
        <w:rPr>
          <w:rFonts w:ascii="Arial" w:hAnsi="Arial" w:cs="Arial"/>
        </w:rPr>
        <w:t>.</w:t>
      </w:r>
      <w:r w:rsidR="760F6230" w:rsidRPr="00D9018F">
        <w:rPr>
          <w:rFonts w:ascii="Arial" w:hAnsi="Arial" w:cs="Arial"/>
        </w:rPr>
        <w:t xml:space="preserve">  This is </w:t>
      </w:r>
      <w:proofErr w:type="gramStart"/>
      <w:r w:rsidR="760F6230" w:rsidRPr="00D9018F">
        <w:rPr>
          <w:rFonts w:ascii="Arial" w:hAnsi="Arial" w:cs="Arial"/>
        </w:rPr>
        <w:t>similar to</w:t>
      </w:r>
      <w:proofErr w:type="gramEnd"/>
      <w:r w:rsidR="760F6230" w:rsidRPr="00D9018F">
        <w:rPr>
          <w:rFonts w:ascii="Arial" w:hAnsi="Arial" w:cs="Arial"/>
        </w:rPr>
        <w:t xml:space="preserve"> most local authorities due to the effect </w:t>
      </w:r>
      <w:r w:rsidR="0B01CC63" w:rsidRPr="00D9018F">
        <w:rPr>
          <w:rFonts w:ascii="Arial" w:hAnsi="Arial" w:cs="Arial"/>
        </w:rPr>
        <w:t xml:space="preserve">of </w:t>
      </w:r>
      <w:r w:rsidR="760F6230" w:rsidRPr="00D9018F">
        <w:rPr>
          <w:rFonts w:ascii="Arial" w:hAnsi="Arial" w:cs="Arial"/>
        </w:rPr>
        <w:t>the Covid 19 pandemic</w:t>
      </w:r>
      <w:r w:rsidR="7DFD97F0" w:rsidRPr="00D9018F">
        <w:rPr>
          <w:rFonts w:ascii="Arial" w:hAnsi="Arial" w:cs="Arial"/>
        </w:rPr>
        <w:t xml:space="preserve"> which </w:t>
      </w:r>
      <w:r w:rsidR="00BD27C7">
        <w:rPr>
          <w:rFonts w:ascii="Arial" w:hAnsi="Arial" w:cs="Arial"/>
        </w:rPr>
        <w:t>resulted in the cancellation</w:t>
      </w:r>
      <w:r w:rsidR="006719BA">
        <w:rPr>
          <w:rFonts w:ascii="Arial" w:hAnsi="Arial" w:cs="Arial"/>
        </w:rPr>
        <w:t xml:space="preserve"> of</w:t>
      </w:r>
      <w:r w:rsidR="7DFD97F0" w:rsidRPr="00D9018F">
        <w:rPr>
          <w:rFonts w:ascii="Arial" w:hAnsi="Arial" w:cs="Arial"/>
        </w:rPr>
        <w:t xml:space="preserve"> all external assessments during 2020. Assessments recommenced in 2021/22</w:t>
      </w:r>
      <w:r w:rsidR="711762D8" w:rsidRPr="00D9018F">
        <w:rPr>
          <w:rFonts w:ascii="Arial" w:hAnsi="Arial" w:cs="Arial"/>
        </w:rPr>
        <w:t xml:space="preserve">. </w:t>
      </w:r>
      <w:r w:rsidR="64EA48B2" w:rsidRPr="00D9018F">
        <w:rPr>
          <w:rFonts w:ascii="Arial" w:hAnsi="Arial" w:cs="Arial"/>
        </w:rPr>
        <w:t xml:space="preserve">Enquiries are </w:t>
      </w:r>
      <w:r w:rsidR="00047087">
        <w:rPr>
          <w:rFonts w:ascii="Arial" w:hAnsi="Arial" w:cs="Arial"/>
        </w:rPr>
        <w:t>underway</w:t>
      </w:r>
      <w:r w:rsidR="64EA48B2" w:rsidRPr="00D9018F">
        <w:rPr>
          <w:rFonts w:ascii="Arial" w:hAnsi="Arial" w:cs="Arial"/>
        </w:rPr>
        <w:t xml:space="preserve"> to arrange an external assessment during 2024/25.</w:t>
      </w:r>
    </w:p>
    <w:p w14:paraId="5D304A82" w14:textId="77777777" w:rsidR="00BE0E5C" w:rsidRDefault="00BE0E5C" w:rsidP="240375E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14:paraId="0E77CB8A" w14:textId="42FB2249" w:rsidR="00997AF4" w:rsidRDefault="4F76848E" w:rsidP="240375E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16C7B9D5">
        <w:rPr>
          <w:rFonts w:ascii="Arial" w:hAnsi="Arial" w:cs="Arial"/>
        </w:rPr>
        <w:t xml:space="preserve">Despite the </w:t>
      </w:r>
      <w:r w:rsidR="00210FC8">
        <w:rPr>
          <w:rFonts w:ascii="Arial" w:hAnsi="Arial" w:cs="Arial"/>
        </w:rPr>
        <w:t>lack of</w:t>
      </w:r>
      <w:r w:rsidRPr="16C7B9D5">
        <w:rPr>
          <w:rFonts w:ascii="Arial" w:hAnsi="Arial" w:cs="Arial"/>
        </w:rPr>
        <w:t xml:space="preserve"> </w:t>
      </w:r>
      <w:proofErr w:type="gramStart"/>
      <w:r w:rsidRPr="16C7B9D5">
        <w:rPr>
          <w:rFonts w:ascii="Arial" w:hAnsi="Arial" w:cs="Arial"/>
        </w:rPr>
        <w:t>assessments</w:t>
      </w:r>
      <w:proofErr w:type="gramEnd"/>
      <w:r w:rsidRPr="16C7B9D5">
        <w:rPr>
          <w:rFonts w:ascii="Arial" w:hAnsi="Arial" w:cs="Arial"/>
        </w:rPr>
        <w:t xml:space="preserve"> the overall result was that Harrow </w:t>
      </w:r>
      <w:r w:rsidR="20679A5D" w:rsidRPr="240375ED">
        <w:rPr>
          <w:rFonts w:ascii="Arial" w:hAnsi="Arial" w:cs="Arial"/>
        </w:rPr>
        <w:t>‘</w:t>
      </w:r>
      <w:r w:rsidR="711762D8" w:rsidRPr="16C7B9D5">
        <w:rPr>
          <w:rFonts w:ascii="Arial" w:hAnsi="Arial" w:cs="Arial"/>
        </w:rPr>
        <w:t xml:space="preserve">generally </w:t>
      </w:r>
      <w:r w:rsidR="711762D8" w:rsidRPr="240375ED">
        <w:rPr>
          <w:rFonts w:ascii="Arial" w:hAnsi="Arial" w:cs="Arial"/>
        </w:rPr>
        <w:t>conforms</w:t>
      </w:r>
      <w:r w:rsidR="0BF0CC6B" w:rsidRPr="240375ED">
        <w:rPr>
          <w:rFonts w:ascii="Arial" w:hAnsi="Arial" w:cs="Arial"/>
        </w:rPr>
        <w:t>’</w:t>
      </w:r>
      <w:r w:rsidR="711762D8" w:rsidRPr="16C7B9D5">
        <w:rPr>
          <w:rFonts w:ascii="Arial" w:hAnsi="Arial" w:cs="Arial"/>
        </w:rPr>
        <w:t xml:space="preserve"> with the standards</w:t>
      </w:r>
      <w:r w:rsidR="1AB52DB6" w:rsidRPr="16C7B9D5">
        <w:rPr>
          <w:rFonts w:ascii="Arial" w:hAnsi="Arial" w:cs="Arial"/>
        </w:rPr>
        <w:t>. The</w:t>
      </w:r>
      <w:r w:rsidR="007A3ADA">
        <w:rPr>
          <w:rFonts w:ascii="Arial" w:hAnsi="Arial" w:cs="Arial"/>
        </w:rPr>
        <w:t>re are a small number of areas where improvement is necessary, largely around undertaking assessments</w:t>
      </w:r>
      <w:r w:rsidR="0088389F">
        <w:rPr>
          <w:rFonts w:ascii="Arial" w:hAnsi="Arial" w:cs="Arial"/>
        </w:rPr>
        <w:t>. This is a similar result across the country as assessments were halted during the Covid pandemic</w:t>
      </w:r>
      <w:r w:rsidR="00FA2A25">
        <w:rPr>
          <w:rFonts w:ascii="Arial" w:hAnsi="Arial" w:cs="Arial"/>
        </w:rPr>
        <w:t>. A</w:t>
      </w:r>
      <w:r w:rsidR="1AB52DB6" w:rsidRPr="16C7B9D5">
        <w:rPr>
          <w:rFonts w:ascii="Arial" w:hAnsi="Arial" w:cs="Arial"/>
        </w:rPr>
        <w:t>reas identified for improvement and actions requ</w:t>
      </w:r>
      <w:r w:rsidR="3A11CD54" w:rsidRPr="16C7B9D5">
        <w:rPr>
          <w:rFonts w:ascii="Arial" w:hAnsi="Arial" w:cs="Arial"/>
        </w:rPr>
        <w:t xml:space="preserve">ired </w:t>
      </w:r>
      <w:r w:rsidR="1AB52DB6" w:rsidRPr="16C7B9D5">
        <w:rPr>
          <w:rFonts w:ascii="Arial" w:hAnsi="Arial" w:cs="Arial"/>
        </w:rPr>
        <w:t xml:space="preserve">are detailed in </w:t>
      </w:r>
      <w:r w:rsidR="02AA98D3" w:rsidRPr="16C7B9D5">
        <w:rPr>
          <w:rFonts w:ascii="Arial" w:hAnsi="Arial" w:cs="Arial"/>
        </w:rPr>
        <w:t xml:space="preserve">the </w:t>
      </w:r>
      <w:r w:rsidR="00FA2A25">
        <w:rPr>
          <w:rFonts w:ascii="Arial" w:hAnsi="Arial" w:cs="Arial"/>
        </w:rPr>
        <w:t xml:space="preserve">Quality Assurance and Improvement </w:t>
      </w:r>
      <w:r w:rsidR="02AA98D3" w:rsidRPr="16C7B9D5">
        <w:rPr>
          <w:rFonts w:ascii="Arial" w:hAnsi="Arial" w:cs="Arial"/>
        </w:rPr>
        <w:t>Action Plan</w:t>
      </w:r>
      <w:r w:rsidR="1AB52DB6" w:rsidRPr="16C7B9D5">
        <w:rPr>
          <w:rFonts w:ascii="Arial" w:hAnsi="Arial" w:cs="Arial"/>
        </w:rPr>
        <w:t xml:space="preserve"> </w:t>
      </w:r>
      <w:r w:rsidR="00FA2A25">
        <w:rPr>
          <w:rFonts w:ascii="Arial" w:hAnsi="Arial" w:cs="Arial"/>
        </w:rPr>
        <w:t xml:space="preserve">(QAIP) </w:t>
      </w:r>
      <w:r w:rsidR="00A342F9">
        <w:rPr>
          <w:rFonts w:ascii="Arial" w:hAnsi="Arial" w:cs="Arial"/>
        </w:rPr>
        <w:t xml:space="preserve">at Appendix B, </w:t>
      </w:r>
      <w:proofErr w:type="gramStart"/>
      <w:r w:rsidR="00A342F9">
        <w:rPr>
          <w:rFonts w:ascii="Arial" w:hAnsi="Arial" w:cs="Arial"/>
        </w:rPr>
        <w:t>a brief summary</w:t>
      </w:r>
      <w:proofErr w:type="gramEnd"/>
      <w:r w:rsidR="00A342F9">
        <w:rPr>
          <w:rFonts w:ascii="Arial" w:hAnsi="Arial" w:cs="Arial"/>
        </w:rPr>
        <w:t xml:space="preserve"> </w:t>
      </w:r>
      <w:r w:rsidR="00836B20">
        <w:rPr>
          <w:rFonts w:ascii="Arial" w:hAnsi="Arial" w:cs="Arial"/>
        </w:rPr>
        <w:t xml:space="preserve">of </w:t>
      </w:r>
      <w:r w:rsidR="007A3ADA">
        <w:rPr>
          <w:rFonts w:ascii="Arial" w:hAnsi="Arial" w:cs="Arial"/>
        </w:rPr>
        <w:t xml:space="preserve">areas for improvement are outlined </w:t>
      </w:r>
      <w:r w:rsidR="00A342F9">
        <w:rPr>
          <w:rFonts w:ascii="Arial" w:hAnsi="Arial" w:cs="Arial"/>
        </w:rPr>
        <w:t>in Table 6 below</w:t>
      </w:r>
      <w:r w:rsidR="7E866530" w:rsidRPr="240375ED">
        <w:rPr>
          <w:rFonts w:ascii="Arial" w:hAnsi="Arial" w:cs="Arial"/>
        </w:rPr>
        <w:t>: -</w:t>
      </w:r>
    </w:p>
    <w:p w14:paraId="61AC2EE6" w14:textId="7DD33D30" w:rsidR="240375ED" w:rsidRPr="00086456" w:rsidRDefault="240375ED" w:rsidP="240375ED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  <w:highlight w:val="yellow"/>
        </w:rPr>
      </w:pPr>
    </w:p>
    <w:p w14:paraId="6C34DF35" w14:textId="77777777" w:rsidR="001D5FD1" w:rsidRDefault="001D5FD1" w:rsidP="240375ED">
      <w:pPr>
        <w:shd w:val="clear" w:color="auto" w:fill="FFFFFF" w:themeFill="background1"/>
        <w:spacing w:after="0" w:line="240" w:lineRule="auto"/>
        <w:rPr>
          <w:rFonts w:ascii="Arial" w:hAnsi="Arial" w:cs="Arial"/>
          <w:highlight w:val="yellow"/>
        </w:rPr>
      </w:pPr>
    </w:p>
    <w:p w14:paraId="2BF62841" w14:textId="44D267A8" w:rsidR="001D5FD1" w:rsidRPr="002301BF" w:rsidRDefault="001D5FD1" w:rsidP="00836B20">
      <w:pPr>
        <w:shd w:val="clear" w:color="auto" w:fill="002060"/>
        <w:spacing w:after="0" w:line="240" w:lineRule="auto"/>
        <w:jc w:val="center"/>
        <w:rPr>
          <w:rFonts w:ascii="Arial" w:eastAsiaTheme="minorEastAsia" w:hAnsi="Arial" w:cs="Arial"/>
          <w:b/>
          <w:bCs/>
          <w:color w:val="FFFFFF" w:themeColor="background1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FFFFFF" w:themeColor="background1"/>
          <w:sz w:val="32"/>
          <w:szCs w:val="32"/>
          <w:shd w:val="clear" w:color="auto" w:fill="17365D" w:themeFill="text2" w:themeFillShade="BF"/>
          <w:lang w:eastAsia="en-GB"/>
        </w:rPr>
        <w:t xml:space="preserve">Summary of </w:t>
      </w:r>
      <w:r w:rsidRPr="00F4368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PSIAS </w:t>
      </w:r>
      <w:r w:rsidR="00836B20">
        <w:rPr>
          <w:rFonts w:ascii="Arial" w:eastAsia="Times New Roman" w:hAnsi="Arial" w:cs="Arial"/>
          <w:b/>
          <w:sz w:val="32"/>
          <w:szCs w:val="32"/>
          <w:lang w:eastAsia="en-GB"/>
        </w:rPr>
        <w:t>Self-Assessment Action Plan</w:t>
      </w:r>
    </w:p>
    <w:p w14:paraId="6CB45D87" w14:textId="77777777" w:rsidR="001D5FD1" w:rsidRDefault="001D5FD1" w:rsidP="240375ED">
      <w:pPr>
        <w:shd w:val="clear" w:color="auto" w:fill="FFFFFF" w:themeFill="background1"/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3402"/>
        <w:gridCol w:w="1276"/>
      </w:tblGrid>
      <w:tr w:rsidR="00D45DB5" w14:paraId="008914B3" w14:textId="77777777" w:rsidTr="4F300664">
        <w:tc>
          <w:tcPr>
            <w:tcW w:w="1980" w:type="dxa"/>
          </w:tcPr>
          <w:p w14:paraId="4566DE1A" w14:textId="77777777" w:rsidR="00D45DB5" w:rsidRDefault="00D45DB5" w:rsidP="00023822">
            <w:pPr>
              <w:spacing w:after="0" w:line="240" w:lineRule="auto"/>
              <w:jc w:val="center"/>
              <w:rPr>
                <w:b/>
                <w:bCs/>
              </w:rPr>
            </w:pPr>
            <w:r w:rsidRPr="00BD4D78">
              <w:rPr>
                <w:b/>
                <w:bCs/>
              </w:rPr>
              <w:t xml:space="preserve">PSIAS </w:t>
            </w:r>
          </w:p>
          <w:p w14:paraId="16635D58" w14:textId="77777777" w:rsidR="00D45DB5" w:rsidRPr="00BD4D78" w:rsidRDefault="00D45DB5" w:rsidP="00023822">
            <w:pPr>
              <w:spacing w:after="0" w:line="240" w:lineRule="auto"/>
              <w:jc w:val="center"/>
              <w:rPr>
                <w:b/>
                <w:bCs/>
              </w:rPr>
            </w:pPr>
            <w:r w:rsidRPr="00BD4D78">
              <w:rPr>
                <w:b/>
                <w:bCs/>
              </w:rPr>
              <w:t>Core Principles</w:t>
            </w:r>
          </w:p>
        </w:tc>
        <w:tc>
          <w:tcPr>
            <w:tcW w:w="1843" w:type="dxa"/>
          </w:tcPr>
          <w:p w14:paraId="7D00C0E6" w14:textId="77777777" w:rsidR="00D45DB5" w:rsidRPr="00BD4D78" w:rsidRDefault="00D45DB5" w:rsidP="00023822">
            <w:pPr>
              <w:spacing w:after="0" w:line="240" w:lineRule="auto"/>
              <w:jc w:val="center"/>
              <w:rPr>
                <w:b/>
                <w:bCs/>
              </w:rPr>
            </w:pPr>
            <w:r w:rsidRPr="00BD4D78">
              <w:rPr>
                <w:b/>
                <w:bCs/>
              </w:rPr>
              <w:t>Findings</w:t>
            </w:r>
          </w:p>
        </w:tc>
        <w:tc>
          <w:tcPr>
            <w:tcW w:w="1417" w:type="dxa"/>
          </w:tcPr>
          <w:p w14:paraId="76D1089B" w14:textId="77777777" w:rsidR="00D45DB5" w:rsidRPr="00BD4D78" w:rsidRDefault="00D45DB5" w:rsidP="00023822">
            <w:pPr>
              <w:spacing w:after="0" w:line="240" w:lineRule="auto"/>
              <w:jc w:val="center"/>
              <w:rPr>
                <w:b/>
                <w:bCs/>
              </w:rPr>
            </w:pPr>
            <w:r w:rsidRPr="00BD4D78">
              <w:rPr>
                <w:b/>
                <w:bCs/>
              </w:rPr>
              <w:t>Priority</w:t>
            </w:r>
          </w:p>
        </w:tc>
        <w:tc>
          <w:tcPr>
            <w:tcW w:w="3402" w:type="dxa"/>
          </w:tcPr>
          <w:p w14:paraId="4C44110D" w14:textId="77777777" w:rsidR="00D45DB5" w:rsidRPr="00BD4D78" w:rsidRDefault="00D45DB5" w:rsidP="00023822">
            <w:pPr>
              <w:spacing w:after="0" w:line="240" w:lineRule="auto"/>
              <w:jc w:val="center"/>
              <w:rPr>
                <w:b/>
                <w:bCs/>
              </w:rPr>
            </w:pPr>
            <w:r w:rsidRPr="00BD4D78">
              <w:rPr>
                <w:b/>
                <w:bCs/>
              </w:rPr>
              <w:t>Agreed Actions/</w:t>
            </w:r>
          </w:p>
          <w:p w14:paraId="6A4F0B8B" w14:textId="77777777" w:rsidR="00D45DB5" w:rsidRPr="00BD4D78" w:rsidRDefault="00D45DB5" w:rsidP="00023822">
            <w:pPr>
              <w:spacing w:after="0" w:line="240" w:lineRule="auto"/>
              <w:jc w:val="center"/>
              <w:rPr>
                <w:b/>
                <w:bCs/>
              </w:rPr>
            </w:pPr>
            <w:r w:rsidRPr="00BD4D78">
              <w:rPr>
                <w:b/>
                <w:bCs/>
              </w:rPr>
              <w:t>Responsible Office</w:t>
            </w:r>
            <w:r>
              <w:rPr>
                <w:b/>
                <w:bCs/>
              </w:rPr>
              <w:t>r</w:t>
            </w:r>
            <w:r w:rsidRPr="00BD4D78">
              <w:rPr>
                <w:b/>
                <w:bCs/>
              </w:rPr>
              <w:t>/Date</w:t>
            </w:r>
          </w:p>
        </w:tc>
        <w:tc>
          <w:tcPr>
            <w:tcW w:w="1276" w:type="dxa"/>
          </w:tcPr>
          <w:p w14:paraId="757ABBF1" w14:textId="77777777" w:rsidR="00D45DB5" w:rsidRPr="00BD4D78" w:rsidRDefault="00D45DB5" w:rsidP="00023822">
            <w:pPr>
              <w:spacing w:after="0" w:line="240" w:lineRule="auto"/>
              <w:jc w:val="center"/>
              <w:rPr>
                <w:b/>
                <w:bCs/>
              </w:rPr>
            </w:pPr>
            <w:r w:rsidRPr="00BD4D78">
              <w:rPr>
                <w:b/>
                <w:bCs/>
              </w:rPr>
              <w:t>Status</w:t>
            </w:r>
          </w:p>
        </w:tc>
      </w:tr>
      <w:tr w:rsidR="00D45DB5" w14:paraId="492B1044" w14:textId="77777777" w:rsidTr="4F300664">
        <w:tc>
          <w:tcPr>
            <w:tcW w:w="1980" w:type="dxa"/>
          </w:tcPr>
          <w:p w14:paraId="25EBCC27" w14:textId="77777777" w:rsidR="00D45DB5" w:rsidRPr="00BD4D78" w:rsidRDefault="00D45DB5" w:rsidP="00023822">
            <w:pPr>
              <w:spacing w:after="0" w:line="240" w:lineRule="auto"/>
              <w:rPr>
                <w:b/>
                <w:bCs/>
              </w:rPr>
            </w:pPr>
            <w:r w:rsidRPr="00BD4D78">
              <w:rPr>
                <w:b/>
                <w:bCs/>
                <w:color w:val="7030A0"/>
              </w:rPr>
              <w:t>Organisational Independence</w:t>
            </w:r>
          </w:p>
        </w:tc>
        <w:tc>
          <w:tcPr>
            <w:tcW w:w="1843" w:type="dxa"/>
          </w:tcPr>
          <w:p w14:paraId="6203C5B0" w14:textId="2525ED98" w:rsidR="00D45DB5" w:rsidRDefault="00D45DB5" w:rsidP="00023822">
            <w:pPr>
              <w:spacing w:after="0" w:line="240" w:lineRule="auto"/>
            </w:pPr>
            <w:r>
              <w:t xml:space="preserve">Partially conforming </w:t>
            </w:r>
          </w:p>
        </w:tc>
        <w:tc>
          <w:tcPr>
            <w:tcW w:w="1417" w:type="dxa"/>
          </w:tcPr>
          <w:p w14:paraId="089818C5" w14:textId="77777777" w:rsidR="00D45DB5" w:rsidRDefault="00D45DB5" w:rsidP="00023822">
            <w:pPr>
              <w:spacing w:after="0" w:line="240" w:lineRule="auto"/>
              <w:jc w:val="center"/>
            </w:pPr>
            <w:r>
              <w:t>High</w:t>
            </w:r>
          </w:p>
        </w:tc>
        <w:tc>
          <w:tcPr>
            <w:tcW w:w="3402" w:type="dxa"/>
          </w:tcPr>
          <w:p w14:paraId="4DFAF949" w14:textId="77777777" w:rsidR="00D45DB5" w:rsidRDefault="00D45DB5" w:rsidP="00023822">
            <w:pPr>
              <w:spacing w:after="0" w:line="240" w:lineRule="auto"/>
            </w:pPr>
            <w:r>
              <w:t>Restructure of the service is currently being proposed.</w:t>
            </w:r>
          </w:p>
          <w:p w14:paraId="44476D7C" w14:textId="77777777" w:rsidR="00D45DB5" w:rsidRDefault="00D45DB5" w:rsidP="00023822">
            <w:pPr>
              <w:spacing w:after="0" w:line="240" w:lineRule="auto"/>
            </w:pPr>
            <w:r>
              <w:t>HIA - 01/04/24</w:t>
            </w:r>
          </w:p>
        </w:tc>
        <w:tc>
          <w:tcPr>
            <w:tcW w:w="1276" w:type="dxa"/>
          </w:tcPr>
          <w:p w14:paraId="033FFF20" w14:textId="77777777" w:rsidR="00D45DB5" w:rsidRDefault="00D45DB5" w:rsidP="00023822">
            <w:pPr>
              <w:spacing w:after="0" w:line="240" w:lineRule="auto"/>
            </w:pPr>
            <w:r>
              <w:t>In progress</w:t>
            </w:r>
          </w:p>
        </w:tc>
      </w:tr>
      <w:tr w:rsidR="00D45DB5" w14:paraId="067FB19F" w14:textId="77777777" w:rsidTr="000237DD">
        <w:trPr>
          <w:trHeight w:val="861"/>
        </w:trPr>
        <w:tc>
          <w:tcPr>
            <w:tcW w:w="1980" w:type="dxa"/>
          </w:tcPr>
          <w:p w14:paraId="141BEFE7" w14:textId="77777777" w:rsidR="00D45DB5" w:rsidRPr="00762F49" w:rsidRDefault="00D45DB5" w:rsidP="00023822">
            <w:pPr>
              <w:spacing w:after="0" w:line="240" w:lineRule="auto"/>
              <w:rPr>
                <w:b/>
                <w:bCs/>
              </w:rPr>
            </w:pPr>
            <w:r w:rsidRPr="00762F49">
              <w:rPr>
                <w:b/>
                <w:bCs/>
                <w:color w:val="7030A0"/>
              </w:rPr>
              <w:t>Quality Assurance and Improvement Programme</w:t>
            </w:r>
          </w:p>
        </w:tc>
        <w:tc>
          <w:tcPr>
            <w:tcW w:w="1843" w:type="dxa"/>
          </w:tcPr>
          <w:p w14:paraId="0ECF2A51" w14:textId="10440C6B" w:rsidR="00D45DB5" w:rsidRDefault="00D45DB5" w:rsidP="00023822">
            <w:pPr>
              <w:spacing w:after="0" w:line="240" w:lineRule="auto"/>
            </w:pPr>
            <w:r>
              <w:t xml:space="preserve">Not conforming </w:t>
            </w:r>
          </w:p>
        </w:tc>
        <w:tc>
          <w:tcPr>
            <w:tcW w:w="1417" w:type="dxa"/>
          </w:tcPr>
          <w:p w14:paraId="0C6C5E8A" w14:textId="77777777" w:rsidR="00D45DB5" w:rsidRDefault="00D45DB5" w:rsidP="00023822">
            <w:pPr>
              <w:spacing w:after="0" w:line="240" w:lineRule="auto"/>
              <w:jc w:val="center"/>
            </w:pPr>
            <w:r>
              <w:t>Medium</w:t>
            </w:r>
          </w:p>
        </w:tc>
        <w:tc>
          <w:tcPr>
            <w:tcW w:w="3402" w:type="dxa"/>
          </w:tcPr>
          <w:p w14:paraId="34739998" w14:textId="77777777" w:rsidR="00D45DB5" w:rsidRDefault="00D45DB5" w:rsidP="00023822">
            <w:pPr>
              <w:spacing w:after="0" w:line="240" w:lineRule="auto"/>
            </w:pPr>
            <w:r>
              <w:t>Prepare QAIP</w:t>
            </w:r>
          </w:p>
          <w:p w14:paraId="51D81E4E" w14:textId="77777777" w:rsidR="00D45DB5" w:rsidRDefault="00D45DB5" w:rsidP="00023822">
            <w:pPr>
              <w:spacing w:after="0" w:line="240" w:lineRule="auto"/>
            </w:pPr>
          </w:p>
          <w:p w14:paraId="6B0F781D" w14:textId="77777777" w:rsidR="00D45DB5" w:rsidRDefault="00D45DB5" w:rsidP="00023822">
            <w:pPr>
              <w:spacing w:after="0" w:line="240" w:lineRule="auto"/>
            </w:pPr>
            <w:r>
              <w:t>HIA - 01/04/24</w:t>
            </w:r>
          </w:p>
        </w:tc>
        <w:tc>
          <w:tcPr>
            <w:tcW w:w="1276" w:type="dxa"/>
          </w:tcPr>
          <w:p w14:paraId="4B7FF250" w14:textId="77777777" w:rsidR="00D45DB5" w:rsidRDefault="00D45DB5" w:rsidP="00023822">
            <w:pPr>
              <w:spacing w:after="0" w:line="240" w:lineRule="auto"/>
            </w:pPr>
            <w:r>
              <w:t>In progress</w:t>
            </w:r>
          </w:p>
        </w:tc>
      </w:tr>
      <w:tr w:rsidR="00D45DB5" w14:paraId="36D421DA" w14:textId="77777777" w:rsidTr="4F300664">
        <w:tc>
          <w:tcPr>
            <w:tcW w:w="1980" w:type="dxa"/>
          </w:tcPr>
          <w:p w14:paraId="6BCDC9F8" w14:textId="77777777" w:rsidR="00D45DB5" w:rsidRPr="00762F49" w:rsidRDefault="00D45DB5" w:rsidP="00023822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Internal Assessments</w:t>
            </w:r>
          </w:p>
        </w:tc>
        <w:tc>
          <w:tcPr>
            <w:tcW w:w="1843" w:type="dxa"/>
          </w:tcPr>
          <w:p w14:paraId="50CA2B8D" w14:textId="343719A4" w:rsidR="00D45DB5" w:rsidRDefault="00D45DB5" w:rsidP="00023822">
            <w:pPr>
              <w:spacing w:after="0" w:line="240" w:lineRule="auto"/>
            </w:pPr>
            <w:r>
              <w:t>Not conforming</w:t>
            </w:r>
          </w:p>
        </w:tc>
        <w:tc>
          <w:tcPr>
            <w:tcW w:w="1417" w:type="dxa"/>
          </w:tcPr>
          <w:p w14:paraId="4574FCE2" w14:textId="77777777" w:rsidR="00D45DB5" w:rsidRDefault="00D45DB5" w:rsidP="00023822">
            <w:pPr>
              <w:spacing w:after="0" w:line="240" w:lineRule="auto"/>
              <w:jc w:val="center"/>
            </w:pPr>
            <w:r>
              <w:t>Low</w:t>
            </w:r>
          </w:p>
        </w:tc>
        <w:tc>
          <w:tcPr>
            <w:tcW w:w="3402" w:type="dxa"/>
          </w:tcPr>
          <w:p w14:paraId="55CEBF7F" w14:textId="589583B6" w:rsidR="00D45DB5" w:rsidRDefault="00D45DB5" w:rsidP="000237DD">
            <w:pPr>
              <w:spacing w:after="0" w:line="240" w:lineRule="auto"/>
            </w:pPr>
            <w:r>
              <w:t>Summary included in IA Progress for GARMS 31/01/24</w:t>
            </w:r>
          </w:p>
        </w:tc>
        <w:tc>
          <w:tcPr>
            <w:tcW w:w="1276" w:type="dxa"/>
          </w:tcPr>
          <w:p w14:paraId="77955468" w14:textId="77777777" w:rsidR="00D45DB5" w:rsidRDefault="00D45DB5" w:rsidP="00023822">
            <w:pPr>
              <w:spacing w:after="0" w:line="240" w:lineRule="auto"/>
            </w:pPr>
            <w:r>
              <w:t>Completed</w:t>
            </w:r>
          </w:p>
        </w:tc>
      </w:tr>
      <w:tr w:rsidR="00D45DB5" w14:paraId="01E40F45" w14:textId="77777777" w:rsidTr="4F300664">
        <w:tc>
          <w:tcPr>
            <w:tcW w:w="1980" w:type="dxa"/>
          </w:tcPr>
          <w:p w14:paraId="76894655" w14:textId="77777777" w:rsidR="00D45DB5" w:rsidRPr="00762F49" w:rsidRDefault="00D45DB5" w:rsidP="00023822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lastRenderedPageBreak/>
              <w:t>External Assessments</w:t>
            </w:r>
          </w:p>
        </w:tc>
        <w:tc>
          <w:tcPr>
            <w:tcW w:w="1843" w:type="dxa"/>
          </w:tcPr>
          <w:p w14:paraId="0B5C27B7" w14:textId="57D41276" w:rsidR="00D45DB5" w:rsidRDefault="00D45DB5" w:rsidP="00023822">
            <w:pPr>
              <w:spacing w:after="0" w:line="240" w:lineRule="auto"/>
            </w:pPr>
            <w:r>
              <w:t>Not conforming</w:t>
            </w:r>
          </w:p>
        </w:tc>
        <w:tc>
          <w:tcPr>
            <w:tcW w:w="1417" w:type="dxa"/>
          </w:tcPr>
          <w:p w14:paraId="78510405" w14:textId="77777777" w:rsidR="00D45DB5" w:rsidRDefault="00D45DB5" w:rsidP="00023822">
            <w:pPr>
              <w:spacing w:after="0" w:line="240" w:lineRule="auto"/>
              <w:jc w:val="center"/>
            </w:pPr>
            <w:r>
              <w:t>High</w:t>
            </w:r>
          </w:p>
        </w:tc>
        <w:tc>
          <w:tcPr>
            <w:tcW w:w="3402" w:type="dxa"/>
          </w:tcPr>
          <w:p w14:paraId="571435AB" w14:textId="00733DBC" w:rsidR="00D45DB5" w:rsidRDefault="00D45DB5" w:rsidP="00023822">
            <w:pPr>
              <w:spacing w:after="0" w:line="240" w:lineRule="auto"/>
            </w:pPr>
            <w:r>
              <w:t xml:space="preserve">HIA </w:t>
            </w:r>
            <w:r w:rsidR="001D0D84">
              <w:t>to investigate options</w:t>
            </w:r>
            <w:r w:rsidR="001236D5">
              <w:t xml:space="preserve"> with London Audit Group</w:t>
            </w:r>
            <w:r w:rsidR="001D0D84">
              <w:t xml:space="preserve"> </w:t>
            </w:r>
            <w:r w:rsidR="001236D5">
              <w:t>–</w:t>
            </w:r>
            <w:r>
              <w:t xml:space="preserve"> 01/04/24</w:t>
            </w:r>
          </w:p>
        </w:tc>
        <w:tc>
          <w:tcPr>
            <w:tcW w:w="1276" w:type="dxa"/>
          </w:tcPr>
          <w:p w14:paraId="3D5BB2B8" w14:textId="77777777" w:rsidR="00D45DB5" w:rsidRDefault="00D45DB5" w:rsidP="00023822">
            <w:pPr>
              <w:spacing w:after="0" w:line="240" w:lineRule="auto"/>
            </w:pPr>
            <w:r>
              <w:t>Ongoing</w:t>
            </w:r>
          </w:p>
        </w:tc>
      </w:tr>
      <w:tr w:rsidR="00D45DB5" w14:paraId="3E354CE2" w14:textId="77777777" w:rsidTr="4F300664">
        <w:tc>
          <w:tcPr>
            <w:tcW w:w="1980" w:type="dxa"/>
          </w:tcPr>
          <w:p w14:paraId="252A760D" w14:textId="77777777" w:rsidR="00D45DB5" w:rsidRPr="00691565" w:rsidRDefault="00D45DB5" w:rsidP="00023822">
            <w:pPr>
              <w:spacing w:after="0" w:line="240" w:lineRule="auto"/>
              <w:rPr>
                <w:b/>
                <w:bCs/>
              </w:rPr>
            </w:pPr>
            <w:r w:rsidRPr="00691565">
              <w:rPr>
                <w:b/>
                <w:bCs/>
                <w:color w:val="7030A0"/>
              </w:rPr>
              <w:t>Reporting on the QAIP</w:t>
            </w:r>
          </w:p>
        </w:tc>
        <w:tc>
          <w:tcPr>
            <w:tcW w:w="1843" w:type="dxa"/>
          </w:tcPr>
          <w:p w14:paraId="68FF9C1A" w14:textId="2F9A8514" w:rsidR="00D45DB5" w:rsidRDefault="00D45DB5" w:rsidP="00023822">
            <w:pPr>
              <w:spacing w:after="0" w:line="240" w:lineRule="auto"/>
            </w:pPr>
            <w:r>
              <w:t>Not conforming</w:t>
            </w:r>
          </w:p>
        </w:tc>
        <w:tc>
          <w:tcPr>
            <w:tcW w:w="1417" w:type="dxa"/>
          </w:tcPr>
          <w:p w14:paraId="794A6B55" w14:textId="77777777" w:rsidR="00D45DB5" w:rsidRDefault="00D45DB5" w:rsidP="00023822">
            <w:pPr>
              <w:spacing w:after="0" w:line="240" w:lineRule="auto"/>
              <w:jc w:val="center"/>
            </w:pPr>
            <w:r>
              <w:t>Medium</w:t>
            </w:r>
          </w:p>
        </w:tc>
        <w:tc>
          <w:tcPr>
            <w:tcW w:w="3402" w:type="dxa"/>
          </w:tcPr>
          <w:p w14:paraId="45F04E71" w14:textId="5B407A07" w:rsidR="00D45DB5" w:rsidRDefault="00D45DB5" w:rsidP="00023822">
            <w:pPr>
              <w:spacing w:after="0" w:line="240" w:lineRule="auto"/>
            </w:pPr>
            <w:r>
              <w:t>To be included in annual report to GARMS</w:t>
            </w:r>
          </w:p>
          <w:p w14:paraId="2EFE3166" w14:textId="77777777" w:rsidR="00D45DB5" w:rsidRDefault="00D45DB5" w:rsidP="00023822">
            <w:pPr>
              <w:spacing w:after="0" w:line="240" w:lineRule="auto"/>
            </w:pPr>
            <w:r>
              <w:t>HIA - 01/06/24</w:t>
            </w:r>
          </w:p>
        </w:tc>
        <w:tc>
          <w:tcPr>
            <w:tcW w:w="1276" w:type="dxa"/>
          </w:tcPr>
          <w:p w14:paraId="68B9E28E" w14:textId="4AA71421" w:rsidR="00D45DB5" w:rsidRDefault="27C581D1" w:rsidP="00023822">
            <w:pPr>
              <w:spacing w:after="0" w:line="240" w:lineRule="auto"/>
            </w:pPr>
            <w:r>
              <w:t>Due 01/06/24</w:t>
            </w:r>
          </w:p>
        </w:tc>
      </w:tr>
      <w:tr w:rsidR="00D45DB5" w14:paraId="5E69136E" w14:textId="77777777" w:rsidTr="4F300664">
        <w:tc>
          <w:tcPr>
            <w:tcW w:w="1980" w:type="dxa"/>
          </w:tcPr>
          <w:p w14:paraId="1DD35824" w14:textId="77777777" w:rsidR="00D45DB5" w:rsidRPr="00691565" w:rsidRDefault="00D45DB5" w:rsidP="00023822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Disclosure of Non-conformance</w:t>
            </w:r>
          </w:p>
        </w:tc>
        <w:tc>
          <w:tcPr>
            <w:tcW w:w="1843" w:type="dxa"/>
          </w:tcPr>
          <w:p w14:paraId="4FE90EFB" w14:textId="2EDA8CFB" w:rsidR="00D45DB5" w:rsidRDefault="00D45DB5" w:rsidP="00023822">
            <w:pPr>
              <w:spacing w:after="0" w:line="240" w:lineRule="auto"/>
            </w:pPr>
            <w:r>
              <w:t>Not conforming</w:t>
            </w:r>
          </w:p>
        </w:tc>
        <w:tc>
          <w:tcPr>
            <w:tcW w:w="1417" w:type="dxa"/>
          </w:tcPr>
          <w:p w14:paraId="3936B2AA" w14:textId="77777777" w:rsidR="00D45DB5" w:rsidRDefault="00D45DB5" w:rsidP="00023822">
            <w:pPr>
              <w:spacing w:after="0" w:line="240" w:lineRule="auto"/>
              <w:jc w:val="center"/>
            </w:pPr>
            <w:r>
              <w:t>Medium</w:t>
            </w:r>
          </w:p>
        </w:tc>
        <w:tc>
          <w:tcPr>
            <w:tcW w:w="3402" w:type="dxa"/>
          </w:tcPr>
          <w:p w14:paraId="0270EA1F" w14:textId="77777777" w:rsidR="00D45DB5" w:rsidRDefault="00D45DB5" w:rsidP="00023822">
            <w:pPr>
              <w:spacing w:after="0" w:line="240" w:lineRule="auto"/>
            </w:pPr>
            <w:r>
              <w:t>HIA - 31/01/24</w:t>
            </w:r>
          </w:p>
        </w:tc>
        <w:tc>
          <w:tcPr>
            <w:tcW w:w="1276" w:type="dxa"/>
          </w:tcPr>
          <w:p w14:paraId="40D249E1" w14:textId="77777777" w:rsidR="00D45DB5" w:rsidRDefault="00D45DB5" w:rsidP="00023822">
            <w:pPr>
              <w:spacing w:after="0" w:line="240" w:lineRule="auto"/>
            </w:pPr>
            <w:r>
              <w:t>In progress</w:t>
            </w:r>
          </w:p>
        </w:tc>
      </w:tr>
    </w:tbl>
    <w:p w14:paraId="6913CD9E" w14:textId="77777777" w:rsidR="002956A9" w:rsidRDefault="002956A9" w:rsidP="002143C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B1B7EAD" w14:textId="43E952A1" w:rsidR="00997AF4" w:rsidRPr="002143C4" w:rsidRDefault="002143C4" w:rsidP="002143C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Table 6</w:t>
      </w:r>
    </w:p>
    <w:p w14:paraId="417AFD58" w14:textId="77777777" w:rsidR="00754039" w:rsidRDefault="69B78915" w:rsidP="00F60787">
      <w:pPr>
        <w:shd w:val="clear" w:color="auto" w:fill="002060"/>
        <w:ind w:right="-2"/>
        <w:rPr>
          <w:rFonts w:ascii="Arial" w:hAnsi="Arial" w:cs="Arial"/>
          <w:b/>
          <w:bCs/>
          <w:sz w:val="40"/>
          <w:szCs w:val="40"/>
        </w:rPr>
      </w:pPr>
      <w:r w:rsidRPr="16C7B9D5">
        <w:rPr>
          <w:rFonts w:ascii="Arial" w:hAnsi="Arial" w:cs="Arial"/>
          <w:b/>
          <w:bCs/>
          <w:sz w:val="40"/>
          <w:szCs w:val="40"/>
        </w:rPr>
        <w:t xml:space="preserve"> </w:t>
      </w:r>
      <w:r w:rsidR="00A84446">
        <w:rPr>
          <w:rFonts w:ascii="Arial" w:hAnsi="Arial" w:cs="Arial"/>
          <w:b/>
          <w:bCs/>
          <w:sz w:val="40"/>
          <w:szCs w:val="40"/>
        </w:rPr>
        <w:t>4</w:t>
      </w:r>
      <w:r w:rsidR="08C0C6FA" w:rsidRPr="523A79D0">
        <w:rPr>
          <w:rFonts w:ascii="Arial" w:hAnsi="Arial" w:cs="Arial"/>
          <w:b/>
          <w:bCs/>
          <w:sz w:val="40"/>
          <w:szCs w:val="40"/>
        </w:rPr>
        <w:t>.</w:t>
      </w:r>
      <w:r w:rsidR="00673B0E">
        <w:tab/>
      </w:r>
      <w:r w:rsidR="13908271" w:rsidRPr="523A79D0">
        <w:rPr>
          <w:rFonts w:ascii="Arial" w:hAnsi="Arial" w:cs="Arial"/>
          <w:b/>
          <w:bCs/>
          <w:sz w:val="40"/>
          <w:szCs w:val="40"/>
        </w:rPr>
        <w:t xml:space="preserve">Summary of </w:t>
      </w:r>
      <w:r w:rsidR="6B11ED59" w:rsidRPr="523A79D0">
        <w:rPr>
          <w:rFonts w:ascii="Arial" w:hAnsi="Arial" w:cs="Arial"/>
          <w:b/>
          <w:bCs/>
          <w:sz w:val="40"/>
          <w:szCs w:val="40"/>
        </w:rPr>
        <w:t xml:space="preserve">Corporate </w:t>
      </w:r>
      <w:proofErr w:type="spellStart"/>
      <w:r w:rsidR="6B11ED59" w:rsidRPr="523A79D0">
        <w:rPr>
          <w:rFonts w:ascii="Arial" w:hAnsi="Arial" w:cs="Arial"/>
          <w:b/>
          <w:bCs/>
          <w:sz w:val="40"/>
          <w:szCs w:val="40"/>
        </w:rPr>
        <w:t>Anti Fraud</w:t>
      </w:r>
      <w:proofErr w:type="spellEnd"/>
      <w:r w:rsidR="6B11ED59" w:rsidRPr="523A79D0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gramStart"/>
      <w:r w:rsidR="6B11ED59" w:rsidRPr="523A79D0">
        <w:rPr>
          <w:rFonts w:ascii="Arial" w:hAnsi="Arial" w:cs="Arial"/>
          <w:b/>
          <w:bCs/>
          <w:sz w:val="40"/>
          <w:szCs w:val="40"/>
        </w:rPr>
        <w:t>Team</w:t>
      </w:r>
      <w:r w:rsidR="13908271" w:rsidRPr="523A79D0">
        <w:rPr>
          <w:rFonts w:ascii="Arial" w:hAnsi="Arial" w:cs="Arial"/>
          <w:b/>
          <w:bCs/>
          <w:sz w:val="40"/>
          <w:szCs w:val="40"/>
        </w:rPr>
        <w:t xml:space="preserve"> </w:t>
      </w:r>
      <w:r w:rsidR="7B331577" w:rsidRPr="523A79D0">
        <w:rPr>
          <w:rFonts w:ascii="Arial" w:hAnsi="Arial" w:cs="Arial"/>
          <w:b/>
          <w:bCs/>
          <w:sz w:val="40"/>
          <w:szCs w:val="40"/>
        </w:rPr>
        <w:t>Work</w:t>
      </w:r>
      <w:proofErr w:type="gramEnd"/>
    </w:p>
    <w:p w14:paraId="2338FAD8" w14:textId="77777777" w:rsidR="009B7EDB" w:rsidRDefault="009B7EDB" w:rsidP="009B7EDB">
      <w:pPr>
        <w:shd w:val="clear" w:color="auto" w:fill="FFFFFF" w:themeFill="background1"/>
        <w:spacing w:after="0" w:line="240" w:lineRule="auto"/>
        <w:ind w:right="-2"/>
        <w:rPr>
          <w:rFonts w:ascii="Arial" w:hAnsi="Arial" w:cs="Arial"/>
        </w:rPr>
      </w:pPr>
    </w:p>
    <w:p w14:paraId="2F2AD2A6" w14:textId="672B05AB" w:rsidR="00223FFA" w:rsidRDefault="00AD61FF" w:rsidP="009B7EDB">
      <w:pPr>
        <w:shd w:val="clear" w:color="auto" w:fill="FFFFFF" w:themeFill="background1"/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The CAFT received </w:t>
      </w:r>
      <w:r w:rsidR="00BE1CE6">
        <w:rPr>
          <w:rFonts w:ascii="Arial" w:hAnsi="Arial" w:cs="Arial"/>
        </w:rPr>
        <w:t>97</w:t>
      </w:r>
      <w:r w:rsidR="00D30566">
        <w:rPr>
          <w:rFonts w:ascii="Arial" w:hAnsi="Arial" w:cs="Arial"/>
        </w:rPr>
        <w:t xml:space="preserve"> refer</w:t>
      </w:r>
      <w:r w:rsidR="00A24DAC">
        <w:rPr>
          <w:rFonts w:ascii="Arial" w:hAnsi="Arial" w:cs="Arial"/>
        </w:rPr>
        <w:t>rals</w:t>
      </w:r>
      <w:r w:rsidR="00B24B16">
        <w:rPr>
          <w:rFonts w:ascii="Arial" w:hAnsi="Arial" w:cs="Arial"/>
        </w:rPr>
        <w:t xml:space="preserve"> </w:t>
      </w:r>
      <w:r w:rsidR="002C6F58">
        <w:rPr>
          <w:rFonts w:ascii="Arial" w:hAnsi="Arial" w:cs="Arial"/>
        </w:rPr>
        <w:t>during 2023/24 to date</w:t>
      </w:r>
      <w:r w:rsidR="008B496A">
        <w:rPr>
          <w:rFonts w:ascii="Arial" w:hAnsi="Arial" w:cs="Arial"/>
        </w:rPr>
        <w:t xml:space="preserve">. </w:t>
      </w:r>
      <w:r w:rsidR="00BE1CE6">
        <w:rPr>
          <w:rFonts w:ascii="Arial" w:hAnsi="Arial" w:cs="Arial"/>
        </w:rPr>
        <w:t xml:space="preserve"> </w:t>
      </w:r>
      <w:r w:rsidR="008B496A">
        <w:rPr>
          <w:rFonts w:ascii="Arial" w:hAnsi="Arial" w:cs="Arial"/>
        </w:rPr>
        <w:t xml:space="preserve">A breakdown of the outcomes and </w:t>
      </w:r>
      <w:r w:rsidR="006D1FA9">
        <w:rPr>
          <w:rFonts w:ascii="Arial" w:hAnsi="Arial" w:cs="Arial"/>
        </w:rPr>
        <w:t xml:space="preserve">values of loss/loss avoidance </w:t>
      </w:r>
      <w:proofErr w:type="gramStart"/>
      <w:r w:rsidR="006D1FA9">
        <w:rPr>
          <w:rFonts w:ascii="Arial" w:hAnsi="Arial" w:cs="Arial"/>
        </w:rPr>
        <w:t>as a result of</w:t>
      </w:r>
      <w:proofErr w:type="gramEnd"/>
      <w:r w:rsidR="006D1FA9">
        <w:rPr>
          <w:rFonts w:ascii="Arial" w:hAnsi="Arial" w:cs="Arial"/>
        </w:rPr>
        <w:t xml:space="preserve"> the work carried out by the team is provided in Table </w:t>
      </w:r>
      <w:r w:rsidR="009B7EDB">
        <w:rPr>
          <w:rFonts w:ascii="Arial" w:hAnsi="Arial" w:cs="Arial"/>
        </w:rPr>
        <w:t>7</w:t>
      </w:r>
      <w:r w:rsidR="006D1FA9">
        <w:rPr>
          <w:rFonts w:ascii="Arial" w:hAnsi="Arial" w:cs="Arial"/>
        </w:rPr>
        <w:t xml:space="preserve"> below</w:t>
      </w:r>
      <w:r w:rsidR="00BB431D">
        <w:rPr>
          <w:rFonts w:ascii="Arial" w:hAnsi="Arial" w:cs="Arial"/>
        </w:rPr>
        <w:t xml:space="preserve">. </w:t>
      </w:r>
    </w:p>
    <w:p w14:paraId="010FF2D0" w14:textId="77777777" w:rsidR="009B7EDB" w:rsidRPr="00223FFA" w:rsidRDefault="009B7EDB" w:rsidP="009B7EDB">
      <w:pPr>
        <w:shd w:val="clear" w:color="auto" w:fill="FFFFFF" w:themeFill="background1"/>
        <w:spacing w:after="0" w:line="240" w:lineRule="auto"/>
        <w:ind w:right="-2"/>
        <w:rPr>
          <w:rFonts w:ascii="Arial" w:hAnsi="Arial" w:cs="Arial"/>
          <w:b/>
          <w:bCs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134"/>
        <w:gridCol w:w="1559"/>
        <w:gridCol w:w="1559"/>
        <w:gridCol w:w="1418"/>
        <w:gridCol w:w="1276"/>
      </w:tblGrid>
      <w:tr w:rsidR="004E7B4F" w:rsidRPr="00606DC7" w14:paraId="7DA634AB" w14:textId="77777777" w:rsidTr="00A067EF">
        <w:trPr>
          <w:trHeight w:val="690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2CDCA047" w14:textId="466EFDED" w:rsidR="004E7B4F" w:rsidRDefault="00A84446" w:rsidP="00C77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4</w:t>
            </w:r>
            <w:bookmarkStart w:id="8" w:name="_Hlk155781739"/>
            <w:r w:rsidR="00C77C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.1        </w:t>
            </w:r>
            <w:r w:rsidR="004E7B4F" w:rsidRPr="004E7B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Fraud Referrals, Outputs and Savings Summary</w:t>
            </w:r>
            <w:r w:rsidR="004E7B4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  <w:p w14:paraId="4E03AA39" w14:textId="1B48ECDD" w:rsidR="00376BDC" w:rsidRPr="00915BAA" w:rsidRDefault="004E7B4F" w:rsidP="00376BD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as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7B79D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29 February 2024</w:t>
            </w:r>
            <w:r w:rsidR="003F2BD6">
              <w:rPr>
                <w:rStyle w:val="FootnoteReference"/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footnoteReference w:id="2"/>
            </w:r>
            <w:bookmarkEnd w:id="8"/>
          </w:p>
        </w:tc>
      </w:tr>
      <w:tr w:rsidR="00A7632F" w:rsidRPr="003B760C" w14:paraId="3759822D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2AC4BF" w14:textId="77777777" w:rsidR="00940F90" w:rsidRPr="00141B3E" w:rsidRDefault="00940F90" w:rsidP="00023822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bookmarkStart w:id="9" w:name="_Hlk155782708"/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Fraud Risk Area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8CA807E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Referrals</w:t>
            </w:r>
          </w:p>
          <w:p w14:paraId="1BB048F4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(2023/24)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EB70B0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Positive Outcomes</w:t>
            </w:r>
          </w:p>
          <w:p w14:paraId="58A7D1C2" w14:textId="77422EC4" w:rsidR="00940F90" w:rsidRPr="00141B3E" w:rsidRDefault="00940F90" w:rsidP="00A067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>(2023/24 to date)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26E48E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Loss/Loss Avoidance Value </w:t>
            </w:r>
          </w:p>
          <w:p w14:paraId="241AF6B3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(£)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770612" w14:textId="048B5F1A" w:rsidR="00940F90" w:rsidRPr="00141B3E" w:rsidRDefault="006F69AD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Live cases</w:t>
            </w:r>
            <w:r w:rsidR="00940F90"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 </w:t>
            </w:r>
            <w:r w:rsidR="00A067EF">
              <w:rPr>
                <w:rFonts w:ascii="Arial" w:eastAsia="Times New Roman" w:hAnsi="Arial" w:cs="Arial"/>
                <w:b/>
                <w:bCs/>
                <w:lang w:val="en-US" w:eastAsia="en-GB"/>
              </w:rPr>
              <w:t>U</w:t>
            </w:r>
            <w:r w:rsidR="00D33469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nder </w:t>
            </w:r>
            <w:r w:rsidR="00940F90"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Investigation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30C099" w14:textId="3E4BBE23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Case</w:t>
            </w:r>
            <w:r w:rsidR="00AE0E15">
              <w:rPr>
                <w:rFonts w:ascii="Arial" w:eastAsia="Times New Roman" w:hAnsi="Arial" w:cs="Arial"/>
                <w:b/>
                <w:bCs/>
                <w:lang w:val="en-US" w:eastAsia="en-GB"/>
              </w:rPr>
              <w:t>s</w:t>
            </w: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 Closed</w:t>
            </w:r>
          </w:p>
        </w:tc>
      </w:tr>
      <w:bookmarkEnd w:id="9"/>
      <w:tr w:rsidR="00A067EF" w:rsidRPr="003B760C" w14:paraId="076A2C05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D4F5" w14:textId="77777777" w:rsidR="00940F90" w:rsidRPr="00141B3E" w:rsidRDefault="00940F90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1B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Tenancy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DA853" w14:textId="54E6F884" w:rsidR="00940F90" w:rsidRPr="00141B3E" w:rsidRDefault="00A179D8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5298" w14:textId="720B2E32" w:rsidR="00940F90" w:rsidRPr="00141B3E" w:rsidRDefault="00592794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4DE9" w14:textId="44D97C02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651,</w:t>
            </w:r>
            <w:r w:rsidR="00863072">
              <w:rPr>
                <w:rFonts w:ascii="Arial" w:eastAsia="Times New Roman" w:hAnsi="Arial" w:cs="Arial"/>
                <w:lang w:val="en-US" w:eastAsia="en-GB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C26D" w14:textId="1522EE91" w:rsidR="00940F90" w:rsidRPr="00141B3E" w:rsidRDefault="00E54737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C730" w14:textId="1E7948AE" w:rsidR="00940F90" w:rsidRPr="00141B3E" w:rsidRDefault="00624B14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lang w:val="en-US" w:eastAsia="en-GB"/>
              </w:rPr>
              <w:t>3</w:t>
            </w:r>
            <w:r w:rsidR="008E1D15" w:rsidRPr="000F7E88">
              <w:rPr>
                <w:rFonts w:ascii="Arial" w:eastAsia="Times New Roman" w:hAnsi="Arial" w:cs="Arial"/>
                <w:lang w:val="en-US" w:eastAsia="en-GB"/>
              </w:rPr>
              <w:t>2</w:t>
            </w:r>
          </w:p>
        </w:tc>
      </w:tr>
      <w:tr w:rsidR="00A067EF" w:rsidRPr="003B760C" w14:paraId="6A45F16A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7C68" w14:textId="77777777" w:rsidR="00940F90" w:rsidRPr="00141B3E" w:rsidRDefault="00940F90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1B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Right to Buy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C6B48" w14:textId="1BDA6202" w:rsidR="00940F90" w:rsidRPr="00141B3E" w:rsidRDefault="00A91739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</w:t>
            </w:r>
            <w:r w:rsidR="001F0ADC">
              <w:rPr>
                <w:rFonts w:ascii="Arial" w:eastAsia="Times New Roman" w:hAnsi="Arial" w:cs="Arial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CB0A1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D38C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244,100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9180" w14:textId="22440C8B" w:rsidR="00940F90" w:rsidRPr="00141B3E" w:rsidRDefault="006354A3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CE38" w14:textId="1306CA65" w:rsidR="00940F90" w:rsidRPr="00141B3E" w:rsidRDefault="00971931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13</w:t>
            </w:r>
          </w:p>
        </w:tc>
      </w:tr>
      <w:tr w:rsidR="00A067EF" w:rsidRPr="003B760C" w14:paraId="4400E9F1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5CC2" w14:textId="77777777" w:rsidR="00940F90" w:rsidRPr="00141B3E" w:rsidRDefault="00940F90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41B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Housing Application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22B83" w14:textId="4E666B0A" w:rsidR="00940F90" w:rsidRPr="00141B3E" w:rsidRDefault="00A91739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BFA70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56DC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6,140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E3EE" w14:textId="1489338E" w:rsidR="00940F90" w:rsidRPr="00141B3E" w:rsidRDefault="00950B7E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E92B" w14:textId="58902309" w:rsidR="00940F90" w:rsidRPr="00141B3E" w:rsidRDefault="00EE7B32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lang w:val="en-US" w:eastAsia="en-GB"/>
              </w:rPr>
              <w:t>4</w:t>
            </w:r>
          </w:p>
        </w:tc>
      </w:tr>
      <w:tr w:rsidR="00A067EF" w:rsidRPr="003B760C" w14:paraId="664E22AE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B9BCA" w14:textId="77777777" w:rsidR="00940F90" w:rsidRPr="00141B3E" w:rsidRDefault="00940F90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 Internal/Employee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47B09" w14:textId="36167731" w:rsidR="00940F90" w:rsidRPr="00141B3E" w:rsidRDefault="00E82C72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0DC6B" w14:textId="6D3A41AD" w:rsidR="00940F90" w:rsidRPr="00141B3E" w:rsidRDefault="002F4FD6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A7AD" w14:textId="2AE3395E" w:rsidR="00940F90" w:rsidRPr="00141B3E" w:rsidRDefault="007144E1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300</w:t>
            </w:r>
            <w:r w:rsidR="00B23540">
              <w:rPr>
                <w:rFonts w:ascii="Arial" w:eastAsia="Times New Roman" w:hAnsi="Arial" w:cs="Arial"/>
                <w:lang w:val="en-US" w:eastAsia="en-GB"/>
              </w:rPr>
              <w:t>,099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512C" w14:textId="433F0604" w:rsidR="00940F90" w:rsidRPr="00141B3E" w:rsidRDefault="00071D4C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C520" w14:textId="53B99393" w:rsidR="00940F90" w:rsidRPr="00141B3E" w:rsidRDefault="008765DF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lang w:val="en-US" w:eastAsia="en-GB"/>
              </w:rPr>
              <w:t>9</w:t>
            </w:r>
          </w:p>
        </w:tc>
      </w:tr>
      <w:tr w:rsidR="00A067EF" w:rsidRPr="003B760C" w14:paraId="4539B68D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5670B" w14:textId="77777777" w:rsidR="00940F90" w:rsidRPr="00141B3E" w:rsidRDefault="00940F90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 xml:space="preserve"> Social Care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EF82D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38E66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8D6F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C5E0" w14:textId="4D60FC49" w:rsidR="00940F90" w:rsidRPr="00141B3E" w:rsidRDefault="006354A3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ECA0" w14:textId="6C5AE93A" w:rsidR="00940F90" w:rsidRPr="00141B3E" w:rsidRDefault="00594364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lang w:val="en-US" w:eastAsia="en-GB"/>
              </w:rPr>
              <w:t>2</w:t>
            </w:r>
            <w:r w:rsidR="00D84840" w:rsidRPr="000F7E88">
              <w:rPr>
                <w:rFonts w:ascii="Arial" w:eastAsia="Times New Roman" w:hAnsi="Arial" w:cs="Arial"/>
                <w:lang w:val="en-US" w:eastAsia="en-GB"/>
              </w:rPr>
              <w:t>7</w:t>
            </w:r>
          </w:p>
        </w:tc>
      </w:tr>
      <w:tr w:rsidR="00A067EF" w:rsidRPr="003B760C" w14:paraId="561F1511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D25CC" w14:textId="77777777" w:rsidR="00940F90" w:rsidRPr="00141B3E" w:rsidRDefault="00940F90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 Blue Badge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FF680" w14:textId="449C1FA4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1</w:t>
            </w:r>
            <w:r w:rsidR="00E82C72">
              <w:rPr>
                <w:rFonts w:ascii="Arial" w:eastAsia="Times New Roman" w:hAnsi="Arial" w:cs="Arial"/>
                <w:lang w:val="en-US" w:eastAsia="en-GB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05BDA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7B62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397D" w14:textId="728B9E68" w:rsidR="00940F90" w:rsidRPr="00141B3E" w:rsidRDefault="00C12E0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56E9" w14:textId="541A6826" w:rsidR="00940F90" w:rsidRPr="00141B3E" w:rsidRDefault="00E87DC6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lang w:val="en-US" w:eastAsia="en-GB"/>
              </w:rPr>
              <w:t>1</w:t>
            </w:r>
            <w:r w:rsidR="008765DF" w:rsidRPr="000F7E88">
              <w:rPr>
                <w:rFonts w:ascii="Arial" w:eastAsia="Times New Roman" w:hAnsi="Arial" w:cs="Arial"/>
                <w:lang w:val="en-US" w:eastAsia="en-GB"/>
              </w:rPr>
              <w:t>4</w:t>
            </w:r>
          </w:p>
        </w:tc>
      </w:tr>
      <w:tr w:rsidR="00A067EF" w:rsidRPr="003B760C" w14:paraId="47B87A17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800BA" w14:textId="77777777" w:rsidR="00940F90" w:rsidRPr="00141B3E" w:rsidRDefault="00940F90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 Revenue/CT/CTRS/HB/Grants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080FC" w14:textId="20D448E0" w:rsidR="00940F90" w:rsidRPr="00141B3E" w:rsidRDefault="00E82C72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14433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943" w14:textId="77777777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85EC" w14:textId="776FBD09" w:rsidR="00940F90" w:rsidRPr="00141B3E" w:rsidRDefault="00DD6FAE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8C9F" w14:textId="6AA094FC" w:rsidR="00940F90" w:rsidRPr="00141B3E" w:rsidRDefault="000C6DE1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lang w:val="en-US" w:eastAsia="en-GB"/>
              </w:rPr>
              <w:t>1</w:t>
            </w:r>
            <w:r w:rsidR="008E1D15" w:rsidRPr="000F7E88">
              <w:rPr>
                <w:rFonts w:ascii="Arial" w:eastAsia="Times New Roman" w:hAnsi="Arial" w:cs="Arial"/>
                <w:lang w:val="en-US" w:eastAsia="en-GB"/>
              </w:rPr>
              <w:t>2</w:t>
            </w:r>
          </w:p>
        </w:tc>
      </w:tr>
      <w:tr w:rsidR="00A067EF" w:rsidRPr="003B760C" w14:paraId="017ABFA1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5A96B" w14:textId="2E2F253B" w:rsidR="00940F90" w:rsidRPr="00141B3E" w:rsidRDefault="001D0E11" w:rsidP="00A067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56F1" w14:textId="1E74D415" w:rsidR="00940F90" w:rsidRPr="00141B3E" w:rsidRDefault="000F5517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03850" w14:textId="02F8F0D1" w:rsidR="00940F90" w:rsidRPr="00141B3E" w:rsidRDefault="000F5517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356B" w14:textId="233B2478" w:rsidR="00940F90" w:rsidRPr="00141B3E" w:rsidRDefault="000F5517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3A58" w14:textId="5DDEF02A" w:rsidR="00940F90" w:rsidRPr="00141B3E" w:rsidRDefault="00EB0C8F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E7CF" w14:textId="45B33662" w:rsidR="00940F90" w:rsidRPr="00141B3E" w:rsidRDefault="0047146E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lang w:val="en-US" w:eastAsia="en-GB"/>
              </w:rPr>
              <w:t>1</w:t>
            </w:r>
          </w:p>
        </w:tc>
      </w:tr>
      <w:tr w:rsidR="00A067EF" w:rsidRPr="00B75055" w14:paraId="1F401344" w14:textId="77777777" w:rsidTr="00A067EF">
        <w:trPr>
          <w:trHeight w:val="30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162548" w14:textId="261151F0" w:rsidR="00940F90" w:rsidRPr="00141B3E" w:rsidRDefault="00940F90" w:rsidP="0002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Totals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A111ED" w14:textId="540EF5EE" w:rsidR="00940F90" w:rsidRPr="001E31EA" w:rsidRDefault="00E82C72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397D12" w14:textId="13EA7D9F" w:rsidR="00940F90" w:rsidRPr="001E31EA" w:rsidRDefault="00D30566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1</w:t>
            </w:r>
            <w:r w:rsidR="007C6CB6">
              <w:rPr>
                <w:rFonts w:ascii="Arial" w:eastAsia="Times New Roman" w:hAnsi="Arial" w:cs="Arial"/>
                <w:b/>
                <w:bCs/>
                <w:lang w:val="en-US" w:eastAsia="en-GB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022C9" w14:textId="2EA2EC2C" w:rsidR="00940F90" w:rsidRPr="00141B3E" w:rsidRDefault="00940F90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£1,</w:t>
            </w:r>
            <w:r w:rsidR="00FC5B73">
              <w:rPr>
                <w:rFonts w:ascii="Arial" w:eastAsia="Times New Roman" w:hAnsi="Arial" w:cs="Arial"/>
                <w:b/>
                <w:bCs/>
                <w:lang w:val="en-US" w:eastAsia="en-GB"/>
              </w:rPr>
              <w:t>201</w:t>
            </w:r>
            <w:r w:rsidR="000C3E9D">
              <w:rPr>
                <w:rFonts w:ascii="Arial" w:eastAsia="Times New Roman" w:hAnsi="Arial" w:cs="Arial"/>
                <w:b/>
                <w:bCs/>
                <w:lang w:val="en-US" w:eastAsia="en-GB"/>
              </w:rPr>
              <w:t>,</w:t>
            </w:r>
            <w:r w:rsidR="00FC5B73">
              <w:rPr>
                <w:rFonts w:ascii="Arial" w:eastAsia="Times New Roman" w:hAnsi="Arial" w:cs="Arial"/>
                <w:b/>
                <w:bCs/>
                <w:lang w:val="en-US" w:eastAsia="en-GB"/>
              </w:rPr>
              <w:t>589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34D9D" w14:textId="158B5E9A" w:rsidR="00940F90" w:rsidRPr="00141B3E" w:rsidRDefault="00EB0C8F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55CA6" w14:textId="364A9D43" w:rsidR="00940F90" w:rsidRPr="00141B3E" w:rsidRDefault="00E7426F" w:rsidP="00023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0F7E88">
              <w:rPr>
                <w:rFonts w:ascii="Arial" w:eastAsia="Times New Roman" w:hAnsi="Arial" w:cs="Arial"/>
                <w:b/>
                <w:bCs/>
                <w:lang w:val="en-US" w:eastAsia="en-GB"/>
              </w:rPr>
              <w:t>1</w:t>
            </w:r>
            <w:r w:rsidR="000F7E88" w:rsidRPr="000F7E88">
              <w:rPr>
                <w:rFonts w:ascii="Arial" w:eastAsia="Times New Roman" w:hAnsi="Arial" w:cs="Arial"/>
                <w:b/>
                <w:bCs/>
                <w:lang w:val="en-US" w:eastAsia="en-GB"/>
              </w:rPr>
              <w:t>12</w:t>
            </w:r>
          </w:p>
        </w:tc>
      </w:tr>
    </w:tbl>
    <w:p w14:paraId="6AD2292C" w14:textId="6AC05CEF" w:rsidR="007226D6" w:rsidRDefault="00FB02DE" w:rsidP="00FB02DE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F5049">
        <w:rPr>
          <w:rFonts w:ascii="Arial" w:hAnsi="Arial" w:cs="Arial"/>
          <w:sz w:val="16"/>
          <w:szCs w:val="16"/>
        </w:rPr>
        <w:t xml:space="preserve">Table </w:t>
      </w:r>
      <w:r w:rsidR="009B7EDB">
        <w:rPr>
          <w:rFonts w:ascii="Arial" w:hAnsi="Arial" w:cs="Arial"/>
          <w:sz w:val="16"/>
          <w:szCs w:val="16"/>
        </w:rPr>
        <w:t>7</w:t>
      </w:r>
    </w:p>
    <w:p w14:paraId="656A33F9" w14:textId="77777777" w:rsidR="00420E38" w:rsidRDefault="00420E38" w:rsidP="00FB02DE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FD85327" w14:textId="77777777" w:rsidR="00760BE4" w:rsidRDefault="00760BE4" w:rsidP="00FB02DE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59ECAE1" w14:textId="0A300F77" w:rsidR="00420E38" w:rsidRDefault="006E4EBF" w:rsidP="00F4471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="00424EE7">
        <w:rPr>
          <w:rFonts w:ascii="Arial" w:hAnsi="Arial" w:cs="Arial"/>
        </w:rPr>
        <w:t xml:space="preserve"> investigating referrals </w:t>
      </w:r>
      <w:r w:rsidR="00F4138B">
        <w:rPr>
          <w:rFonts w:ascii="Arial" w:hAnsi="Arial" w:cs="Arial"/>
        </w:rPr>
        <w:t xml:space="preserve">received </w:t>
      </w:r>
      <w:r w:rsidR="00C9563E">
        <w:rPr>
          <w:rFonts w:ascii="Arial" w:hAnsi="Arial" w:cs="Arial"/>
        </w:rPr>
        <w:t>CAFT</w:t>
      </w:r>
      <w:r w:rsidR="00F4138B">
        <w:rPr>
          <w:rFonts w:ascii="Arial" w:hAnsi="Arial" w:cs="Arial"/>
        </w:rPr>
        <w:t xml:space="preserve"> also </w:t>
      </w:r>
      <w:r w:rsidR="0016440F">
        <w:rPr>
          <w:rFonts w:ascii="Arial" w:hAnsi="Arial" w:cs="Arial"/>
        </w:rPr>
        <w:t>coordinates</w:t>
      </w:r>
      <w:r w:rsidR="00EE1D4C">
        <w:rPr>
          <w:rFonts w:ascii="Arial" w:hAnsi="Arial" w:cs="Arial"/>
        </w:rPr>
        <w:t xml:space="preserve"> the Council’s response to the </w:t>
      </w:r>
      <w:r w:rsidR="00E81A02">
        <w:rPr>
          <w:rFonts w:ascii="Arial" w:hAnsi="Arial" w:cs="Arial"/>
        </w:rPr>
        <w:t>National Fraud Initiative</w:t>
      </w:r>
      <w:r w:rsidR="00C9563E">
        <w:rPr>
          <w:rFonts w:ascii="Arial" w:hAnsi="Arial" w:cs="Arial"/>
        </w:rPr>
        <w:t>, a</w:t>
      </w:r>
      <w:r w:rsidR="00900F03">
        <w:rPr>
          <w:rFonts w:ascii="Arial" w:hAnsi="Arial" w:cs="Arial"/>
        </w:rPr>
        <w:t xml:space="preserve"> biennial data matching exercise </w:t>
      </w:r>
      <w:r w:rsidR="002531DA">
        <w:rPr>
          <w:rFonts w:ascii="Arial" w:hAnsi="Arial" w:cs="Arial"/>
        </w:rPr>
        <w:t xml:space="preserve">conducted by the Cabinet Office </w:t>
      </w:r>
      <w:r w:rsidR="00900F03">
        <w:rPr>
          <w:rFonts w:ascii="Arial" w:hAnsi="Arial" w:cs="Arial"/>
        </w:rPr>
        <w:t>involving public sector organisations across the countr</w:t>
      </w:r>
      <w:r w:rsidR="002F6F98">
        <w:rPr>
          <w:rFonts w:ascii="Arial" w:hAnsi="Arial" w:cs="Arial"/>
        </w:rPr>
        <w:t xml:space="preserve">y. </w:t>
      </w:r>
      <w:r w:rsidR="0062237C">
        <w:rPr>
          <w:rFonts w:ascii="Arial" w:hAnsi="Arial" w:cs="Arial"/>
        </w:rPr>
        <w:t xml:space="preserve">Matches are investigated by various </w:t>
      </w:r>
      <w:r w:rsidR="00350DDF">
        <w:rPr>
          <w:rFonts w:ascii="Arial" w:hAnsi="Arial" w:cs="Arial"/>
        </w:rPr>
        <w:t>teams within Har</w:t>
      </w:r>
      <w:r w:rsidR="00C743D2">
        <w:rPr>
          <w:rFonts w:ascii="Arial" w:hAnsi="Arial" w:cs="Arial"/>
        </w:rPr>
        <w:t>r</w:t>
      </w:r>
      <w:r w:rsidR="00350DDF">
        <w:rPr>
          <w:rFonts w:ascii="Arial" w:hAnsi="Arial" w:cs="Arial"/>
        </w:rPr>
        <w:t xml:space="preserve">ow over the </w:t>
      </w:r>
      <w:r w:rsidR="00783DCB">
        <w:rPr>
          <w:rFonts w:ascii="Arial" w:hAnsi="Arial" w:cs="Arial"/>
        </w:rPr>
        <w:t>two-year</w:t>
      </w:r>
      <w:r w:rsidR="00350DDF">
        <w:rPr>
          <w:rFonts w:ascii="Arial" w:hAnsi="Arial" w:cs="Arial"/>
        </w:rPr>
        <w:t xml:space="preserve"> cycle</w:t>
      </w:r>
      <w:r w:rsidR="00C743D2">
        <w:rPr>
          <w:rFonts w:ascii="Arial" w:hAnsi="Arial" w:cs="Arial"/>
        </w:rPr>
        <w:t xml:space="preserve">, CAFT </w:t>
      </w:r>
      <w:r w:rsidR="00FC0204">
        <w:rPr>
          <w:rFonts w:ascii="Arial" w:hAnsi="Arial" w:cs="Arial"/>
        </w:rPr>
        <w:t>investigates some matches and coor</w:t>
      </w:r>
      <w:r w:rsidR="0038298C">
        <w:rPr>
          <w:rFonts w:ascii="Arial" w:hAnsi="Arial" w:cs="Arial"/>
        </w:rPr>
        <w:t>dinates the Council’s overall response.</w:t>
      </w:r>
      <w:r w:rsidR="00900F03">
        <w:rPr>
          <w:rFonts w:ascii="Arial" w:hAnsi="Arial" w:cs="Arial"/>
        </w:rPr>
        <w:t xml:space="preserve"> </w:t>
      </w:r>
      <w:r w:rsidR="00FA290F">
        <w:rPr>
          <w:rFonts w:ascii="Arial" w:hAnsi="Arial" w:cs="Arial"/>
        </w:rPr>
        <w:t xml:space="preserve">It needs to be recognised that matches </w:t>
      </w:r>
      <w:r w:rsidR="00EF2733">
        <w:rPr>
          <w:rFonts w:ascii="Arial" w:hAnsi="Arial" w:cs="Arial"/>
        </w:rPr>
        <w:t xml:space="preserve">are </w:t>
      </w:r>
      <w:r w:rsidR="0016440F">
        <w:rPr>
          <w:rFonts w:ascii="Arial" w:hAnsi="Arial" w:cs="Arial"/>
        </w:rPr>
        <w:t xml:space="preserve">flags that further enquiries may be needed, they </w:t>
      </w:r>
      <w:r w:rsidR="00FA290F">
        <w:rPr>
          <w:rFonts w:ascii="Arial" w:hAnsi="Arial" w:cs="Arial"/>
        </w:rPr>
        <w:t xml:space="preserve">do not necessarily result in </w:t>
      </w:r>
      <w:r w:rsidR="00790F63">
        <w:rPr>
          <w:rFonts w:ascii="Arial" w:hAnsi="Arial" w:cs="Arial"/>
        </w:rPr>
        <w:t>a</w:t>
      </w:r>
      <w:r w:rsidR="002239A5">
        <w:rPr>
          <w:rFonts w:ascii="Arial" w:hAnsi="Arial" w:cs="Arial"/>
        </w:rPr>
        <w:t>n investigation</w:t>
      </w:r>
      <w:r w:rsidR="00F4471D">
        <w:rPr>
          <w:rFonts w:ascii="Arial" w:hAnsi="Arial" w:cs="Arial"/>
        </w:rPr>
        <w:t>.</w:t>
      </w:r>
      <w:r w:rsidR="00004435">
        <w:rPr>
          <w:rFonts w:ascii="Arial" w:hAnsi="Arial" w:cs="Arial"/>
        </w:rPr>
        <w:t xml:space="preserve"> The most recent m</w:t>
      </w:r>
      <w:r w:rsidR="00A7632F">
        <w:rPr>
          <w:rFonts w:ascii="Arial" w:hAnsi="Arial" w:cs="Arial"/>
        </w:rPr>
        <w:t xml:space="preserve">atches were provided </w:t>
      </w:r>
      <w:r w:rsidR="002362A2">
        <w:rPr>
          <w:rFonts w:ascii="Arial" w:hAnsi="Arial" w:cs="Arial"/>
        </w:rPr>
        <w:t xml:space="preserve">to CAFT </w:t>
      </w:r>
      <w:r w:rsidR="00A7469F">
        <w:rPr>
          <w:rFonts w:ascii="Arial" w:hAnsi="Arial" w:cs="Arial"/>
        </w:rPr>
        <w:t>in January 2023</w:t>
      </w:r>
      <w:r w:rsidR="00015C42">
        <w:rPr>
          <w:rFonts w:ascii="Arial" w:hAnsi="Arial" w:cs="Arial"/>
        </w:rPr>
        <w:t xml:space="preserve">.  </w:t>
      </w:r>
      <w:r w:rsidR="00554CED">
        <w:rPr>
          <w:rFonts w:ascii="Arial" w:hAnsi="Arial" w:cs="Arial"/>
        </w:rPr>
        <w:t xml:space="preserve">The total number of matches </w:t>
      </w:r>
      <w:r w:rsidR="00015C42">
        <w:rPr>
          <w:rFonts w:ascii="Arial" w:hAnsi="Arial" w:cs="Arial"/>
        </w:rPr>
        <w:t xml:space="preserve">6,516 </w:t>
      </w:r>
      <w:r w:rsidR="00554CED">
        <w:rPr>
          <w:rFonts w:ascii="Arial" w:hAnsi="Arial" w:cs="Arial"/>
        </w:rPr>
        <w:t>include</w:t>
      </w:r>
      <w:r w:rsidR="00865B52">
        <w:rPr>
          <w:rFonts w:ascii="Arial" w:hAnsi="Arial" w:cs="Arial"/>
        </w:rPr>
        <w:t>d</w:t>
      </w:r>
      <w:r w:rsidR="00015C42">
        <w:rPr>
          <w:rFonts w:ascii="Arial" w:hAnsi="Arial" w:cs="Arial"/>
        </w:rPr>
        <w:t xml:space="preserve"> 366 categorised as high</w:t>
      </w:r>
      <w:r w:rsidR="003D06B9">
        <w:rPr>
          <w:rFonts w:ascii="Arial" w:hAnsi="Arial" w:cs="Arial"/>
        </w:rPr>
        <w:t xml:space="preserve"> priority</w:t>
      </w:r>
      <w:r w:rsidR="00B711A9">
        <w:rPr>
          <w:rFonts w:ascii="Arial" w:hAnsi="Arial" w:cs="Arial"/>
        </w:rPr>
        <w:t xml:space="preserve">.  </w:t>
      </w:r>
      <w:r w:rsidR="0002524A">
        <w:rPr>
          <w:rFonts w:ascii="Arial" w:hAnsi="Arial" w:cs="Arial"/>
        </w:rPr>
        <w:t>Participants are expected</w:t>
      </w:r>
      <w:r w:rsidR="00CE4A34">
        <w:rPr>
          <w:rFonts w:ascii="Arial" w:hAnsi="Arial" w:cs="Arial"/>
        </w:rPr>
        <w:t xml:space="preserve"> to further risk assess the results to determine those that require further investigation.</w:t>
      </w:r>
      <w:r w:rsidR="00566C7D">
        <w:rPr>
          <w:rFonts w:ascii="Arial" w:hAnsi="Arial" w:cs="Arial"/>
        </w:rPr>
        <w:t xml:space="preserve"> To date of the 366</w:t>
      </w:r>
      <w:r w:rsidR="003D06B9">
        <w:rPr>
          <w:rFonts w:ascii="Arial" w:hAnsi="Arial" w:cs="Arial"/>
        </w:rPr>
        <w:t xml:space="preserve"> high </w:t>
      </w:r>
      <w:r w:rsidR="00566DE2">
        <w:rPr>
          <w:rFonts w:ascii="Arial" w:hAnsi="Arial" w:cs="Arial"/>
        </w:rPr>
        <w:t>priority matches</w:t>
      </w:r>
      <w:r w:rsidR="00EE56CD">
        <w:rPr>
          <w:rFonts w:ascii="Arial" w:hAnsi="Arial" w:cs="Arial"/>
        </w:rPr>
        <w:t xml:space="preserve"> </w:t>
      </w:r>
      <w:r w:rsidR="0053392D">
        <w:rPr>
          <w:rFonts w:ascii="Arial" w:hAnsi="Arial" w:cs="Arial"/>
        </w:rPr>
        <w:t xml:space="preserve">there have been </w:t>
      </w:r>
      <w:r w:rsidR="00506859">
        <w:rPr>
          <w:rFonts w:ascii="Arial" w:hAnsi="Arial" w:cs="Arial"/>
        </w:rPr>
        <w:t>63 positive outcomes this year resulting in savings</w:t>
      </w:r>
      <w:r w:rsidR="00165DF5">
        <w:rPr>
          <w:rFonts w:ascii="Arial" w:hAnsi="Arial" w:cs="Arial"/>
        </w:rPr>
        <w:t xml:space="preserve">/loss avoidance </w:t>
      </w:r>
      <w:proofErr w:type="gramStart"/>
      <w:r w:rsidR="00165DF5">
        <w:rPr>
          <w:rFonts w:ascii="Arial" w:hAnsi="Arial" w:cs="Arial"/>
        </w:rPr>
        <w:t>in excess of</w:t>
      </w:r>
      <w:proofErr w:type="gramEnd"/>
      <w:r w:rsidR="00165DF5">
        <w:rPr>
          <w:rFonts w:ascii="Arial" w:hAnsi="Arial" w:cs="Arial"/>
        </w:rPr>
        <w:t xml:space="preserve"> £</w:t>
      </w:r>
      <w:r w:rsidR="00EA33F8">
        <w:rPr>
          <w:rFonts w:ascii="Arial" w:hAnsi="Arial" w:cs="Arial"/>
        </w:rPr>
        <w:t>413</w:t>
      </w:r>
      <w:r w:rsidR="00165DF5">
        <w:rPr>
          <w:rFonts w:ascii="Arial" w:hAnsi="Arial" w:cs="Arial"/>
        </w:rPr>
        <w:t>,000.</w:t>
      </w:r>
      <w:r w:rsidR="00566DE2">
        <w:rPr>
          <w:rFonts w:ascii="Arial" w:hAnsi="Arial" w:cs="Arial"/>
        </w:rPr>
        <w:t xml:space="preserve"> </w:t>
      </w:r>
    </w:p>
    <w:p w14:paraId="3704C6C9" w14:textId="77777777" w:rsidR="00420E38" w:rsidRDefault="00420E38" w:rsidP="00165DF5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1549"/>
        <w:gridCol w:w="1984"/>
        <w:gridCol w:w="2127"/>
      </w:tblGrid>
      <w:tr w:rsidR="004C1FD5" w:rsidRPr="00141B3E" w14:paraId="68A94CB4" w14:textId="77777777" w:rsidTr="00165DF5">
        <w:trPr>
          <w:trHeight w:val="300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424B953E" w14:textId="488DBB73" w:rsidR="004C1FD5" w:rsidRPr="00A067EF" w:rsidRDefault="004C1FD5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A067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GB"/>
              </w:rPr>
              <w:t>Outcomes from National Fraud Initiative (NFI) 2023</w:t>
            </w:r>
          </w:p>
        </w:tc>
      </w:tr>
      <w:tr w:rsidR="004C1FD5" w:rsidRPr="00141B3E" w14:paraId="2AD981D9" w14:textId="77777777" w:rsidTr="00165DF5">
        <w:trPr>
          <w:trHeight w:val="300"/>
          <w:jc w:val="center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86610E" w14:textId="77777777" w:rsidR="001C694E" w:rsidRDefault="004C1FD5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Matches </w:t>
            </w:r>
          </w:p>
          <w:p w14:paraId="2335AC39" w14:textId="40BAE23F" w:rsidR="004C1FD5" w:rsidRPr="00141B3E" w:rsidRDefault="001C694E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Received in January 2023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8FD86" w14:textId="77777777" w:rsidR="004C1FD5" w:rsidRPr="00141B3E" w:rsidRDefault="004C1FD5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Positive Outcomes</w:t>
            </w:r>
          </w:p>
          <w:p w14:paraId="5D1CC652" w14:textId="10953EEF" w:rsidR="004C1FD5" w:rsidRPr="00E06C2B" w:rsidRDefault="004C1FD5" w:rsidP="00E06C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>(</w:t>
            </w:r>
            <w:proofErr w:type="gramStart"/>
            <w:r w:rsidRPr="00141B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>to</w:t>
            </w:r>
            <w:proofErr w:type="gramEnd"/>
            <w:r w:rsidRPr="00141B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 xml:space="preserve"> date)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45847" w14:textId="77777777" w:rsidR="004C1FD5" w:rsidRPr="00141B3E" w:rsidRDefault="004C1FD5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Loss/Loss Avoidance Value </w:t>
            </w:r>
          </w:p>
          <w:p w14:paraId="33F119CC" w14:textId="0D8B6A79" w:rsidR="004C1FD5" w:rsidRPr="00141B3E" w:rsidRDefault="004C1FD5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(£)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777110" w14:textId="38804CCB" w:rsidR="004C1FD5" w:rsidRPr="00141B3E" w:rsidRDefault="004C1FD5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Live cases</w:t>
            </w: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under </w:t>
            </w:r>
            <w:r w:rsidRPr="00141B3E">
              <w:rPr>
                <w:rFonts w:ascii="Arial" w:eastAsia="Times New Roman" w:hAnsi="Arial" w:cs="Arial"/>
                <w:b/>
                <w:bCs/>
                <w:lang w:val="en-US" w:eastAsia="en-GB"/>
              </w:rPr>
              <w:t>Investigation</w:t>
            </w:r>
          </w:p>
        </w:tc>
      </w:tr>
      <w:tr w:rsidR="004C1FD5" w:rsidRPr="00141B3E" w14:paraId="0FD6B44B" w14:textId="77777777" w:rsidTr="00165DF5">
        <w:trPr>
          <w:trHeight w:val="300"/>
          <w:jc w:val="center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D1520" w14:textId="06DBDAB1" w:rsidR="004C1FD5" w:rsidRPr="00141B3E" w:rsidRDefault="005F74D2" w:rsidP="00165D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All </w:t>
            </w:r>
            <w:proofErr w:type="gramStart"/>
            <w:r>
              <w:rPr>
                <w:rFonts w:ascii="Arial" w:eastAsia="Times New Roman" w:hAnsi="Arial" w:cs="Arial"/>
                <w:lang w:val="en-US" w:eastAsia="en-GB"/>
              </w:rPr>
              <w:t>Matches</w:t>
            </w:r>
            <w:r w:rsidR="003B0851">
              <w:rPr>
                <w:rFonts w:ascii="Arial" w:eastAsia="Times New Roman" w:hAnsi="Arial" w:cs="Arial"/>
                <w:lang w:val="en-US" w:eastAsia="en-GB"/>
              </w:rPr>
              <w:t xml:space="preserve">  -</w:t>
            </w:r>
            <w:proofErr w:type="gramEnd"/>
            <w:r w:rsidR="003B0851">
              <w:rPr>
                <w:rFonts w:ascii="Arial" w:eastAsia="Times New Roman" w:hAnsi="Arial" w:cs="Arial"/>
                <w:lang w:val="en-US" w:eastAsia="en-GB"/>
              </w:rPr>
              <w:t xml:space="preserve">  </w:t>
            </w:r>
            <w:r w:rsidR="001C694E">
              <w:rPr>
                <w:rFonts w:ascii="Arial" w:eastAsia="Times New Roman" w:hAnsi="Arial" w:cs="Arial"/>
                <w:lang w:val="en-US" w:eastAsia="en-GB"/>
              </w:rPr>
              <w:t xml:space="preserve">               </w:t>
            </w:r>
            <w:r w:rsidR="004C1FD5" w:rsidRPr="00141B3E">
              <w:rPr>
                <w:rFonts w:ascii="Arial" w:eastAsia="Times New Roman" w:hAnsi="Arial" w:cs="Arial"/>
                <w:lang w:val="en-US" w:eastAsia="en-GB"/>
              </w:rPr>
              <w:t>6,516</w:t>
            </w:r>
          </w:p>
          <w:p w14:paraId="1BE02CC4" w14:textId="256010BA" w:rsidR="004C1FD5" w:rsidRPr="00141B3E" w:rsidRDefault="004C1FD5" w:rsidP="003B08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 xml:space="preserve">High Risk </w:t>
            </w:r>
            <w:r w:rsidR="005F74D2">
              <w:rPr>
                <w:rFonts w:ascii="Arial" w:eastAsia="Times New Roman" w:hAnsi="Arial" w:cs="Arial"/>
                <w:lang w:val="en-US" w:eastAsia="en-GB"/>
              </w:rPr>
              <w:t>Matches</w:t>
            </w:r>
            <w:r w:rsidR="00223FFA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Pr="00141B3E">
              <w:rPr>
                <w:rFonts w:ascii="Arial" w:eastAsia="Times New Roman" w:hAnsi="Arial" w:cs="Arial"/>
                <w:lang w:val="en-US" w:eastAsia="en-GB"/>
              </w:rPr>
              <w:t xml:space="preserve">- </w:t>
            </w:r>
            <w:r w:rsidR="001C694E">
              <w:rPr>
                <w:rFonts w:ascii="Arial" w:eastAsia="Times New Roman" w:hAnsi="Arial" w:cs="Arial"/>
                <w:lang w:val="en-US" w:eastAsia="en-GB"/>
              </w:rPr>
              <w:t xml:space="preserve">         </w:t>
            </w:r>
            <w:r w:rsidRPr="00141B3E">
              <w:rPr>
                <w:rFonts w:ascii="Arial" w:eastAsia="Times New Roman" w:hAnsi="Arial" w:cs="Arial"/>
                <w:lang w:val="en-US" w:eastAsia="en-GB"/>
              </w:rPr>
              <w:t>366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10F08" w14:textId="77777777" w:rsidR="009D23DC" w:rsidRDefault="009D23DC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  <w:p w14:paraId="7E0D688F" w14:textId="5C92EBE8" w:rsidR="004C1FD5" w:rsidRPr="00141B3E" w:rsidRDefault="004C1FD5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0916" w14:textId="77777777" w:rsidR="009D23DC" w:rsidRDefault="009D23DC" w:rsidP="00165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  <w:p w14:paraId="63712178" w14:textId="414121D5" w:rsidR="004C1FD5" w:rsidRPr="00141B3E" w:rsidRDefault="004C1FD5" w:rsidP="00165D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141B3E">
              <w:rPr>
                <w:rFonts w:ascii="Arial" w:eastAsia="Times New Roman" w:hAnsi="Arial" w:cs="Arial"/>
                <w:lang w:val="en-US" w:eastAsia="en-GB"/>
              </w:rPr>
              <w:t>4</w:t>
            </w:r>
            <w:r w:rsidR="005D11DD">
              <w:rPr>
                <w:rFonts w:ascii="Arial" w:eastAsia="Times New Roman" w:hAnsi="Arial" w:cs="Arial"/>
                <w:lang w:val="en-US" w:eastAsia="en-GB"/>
              </w:rPr>
              <w:t>13</w:t>
            </w:r>
            <w:r w:rsidRPr="00141B3E">
              <w:rPr>
                <w:rFonts w:ascii="Arial" w:eastAsia="Times New Roman" w:hAnsi="Arial" w:cs="Arial"/>
                <w:lang w:val="en-US" w:eastAsia="en-GB"/>
              </w:rPr>
              <w:t>,9</w:t>
            </w:r>
            <w:r w:rsidR="00EA33F8">
              <w:rPr>
                <w:rFonts w:ascii="Arial" w:eastAsia="Times New Roman" w:hAnsi="Arial" w:cs="Arial"/>
                <w:lang w:val="en-US" w:eastAsia="en-GB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A41F" w14:textId="77777777" w:rsidR="00420E38" w:rsidRDefault="00420E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  <w:p w14:paraId="061DEB9D" w14:textId="4B8CA508" w:rsidR="004C1FD5" w:rsidRPr="00141B3E" w:rsidRDefault="00A771E6" w:rsidP="00566D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4</w:t>
            </w:r>
          </w:p>
        </w:tc>
      </w:tr>
    </w:tbl>
    <w:p w14:paraId="75368584" w14:textId="09CB93AA" w:rsidR="00C03ACF" w:rsidRDefault="00DD2178" w:rsidP="0031224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CAF</w:t>
      </w:r>
      <w:r w:rsidR="00683450">
        <w:rPr>
          <w:rFonts w:ascii="Arial" w:hAnsi="Arial" w:cs="Arial"/>
        </w:rPr>
        <w:t xml:space="preserve">T undertakes </w:t>
      </w:r>
      <w:r w:rsidR="00732887">
        <w:rPr>
          <w:rFonts w:ascii="Arial" w:hAnsi="Arial" w:cs="Arial"/>
        </w:rPr>
        <w:t xml:space="preserve">pro-active reviews </w:t>
      </w:r>
      <w:r w:rsidR="00B42047">
        <w:rPr>
          <w:rFonts w:ascii="Arial" w:hAnsi="Arial" w:cs="Arial"/>
        </w:rPr>
        <w:t xml:space="preserve">throughout the year as agreed in its </w:t>
      </w:r>
      <w:r w:rsidR="0096109F">
        <w:rPr>
          <w:rFonts w:ascii="Arial" w:hAnsi="Arial" w:cs="Arial"/>
        </w:rPr>
        <w:t xml:space="preserve">Pro-active Anti-fraud Plan. </w:t>
      </w:r>
      <w:r w:rsidR="003504E4">
        <w:rPr>
          <w:rFonts w:ascii="Arial" w:hAnsi="Arial" w:cs="Arial"/>
        </w:rPr>
        <w:t xml:space="preserve"> Details of </w:t>
      </w:r>
      <w:r w:rsidR="006155D0">
        <w:rPr>
          <w:rFonts w:ascii="Arial" w:hAnsi="Arial" w:cs="Arial"/>
        </w:rPr>
        <w:t>progress</w:t>
      </w:r>
      <w:r w:rsidR="00312240">
        <w:rPr>
          <w:rFonts w:ascii="Arial" w:hAnsi="Arial" w:cs="Arial"/>
        </w:rPr>
        <w:t xml:space="preserve"> are shown in Table </w:t>
      </w:r>
      <w:r w:rsidR="00172670">
        <w:rPr>
          <w:rFonts w:ascii="Arial" w:hAnsi="Arial" w:cs="Arial"/>
        </w:rPr>
        <w:t>8</w:t>
      </w:r>
      <w:r w:rsidR="00312240">
        <w:rPr>
          <w:rFonts w:ascii="Arial" w:hAnsi="Arial" w:cs="Arial"/>
        </w:rPr>
        <w:t xml:space="preserve"> below. </w:t>
      </w:r>
      <w:r w:rsidR="00683450">
        <w:rPr>
          <w:rFonts w:ascii="Arial" w:hAnsi="Arial" w:cs="Arial"/>
        </w:rPr>
        <w:t xml:space="preserve"> </w:t>
      </w:r>
      <w:proofErr w:type="gramStart"/>
      <w:r w:rsidR="003504E4" w:rsidRPr="0030111E">
        <w:rPr>
          <w:rFonts w:ascii="Arial" w:hAnsi="Arial" w:cs="Arial"/>
        </w:rPr>
        <w:t>With the exception of</w:t>
      </w:r>
      <w:proofErr w:type="gramEnd"/>
      <w:r w:rsidR="003504E4" w:rsidRPr="0030111E">
        <w:rPr>
          <w:rFonts w:ascii="Arial" w:hAnsi="Arial" w:cs="Arial"/>
        </w:rPr>
        <w:t xml:space="preserve"> </w:t>
      </w:r>
      <w:proofErr w:type="spellStart"/>
      <w:r w:rsidR="003504E4" w:rsidRPr="0030111E">
        <w:rPr>
          <w:rFonts w:ascii="Arial" w:hAnsi="Arial" w:cs="Arial"/>
        </w:rPr>
        <w:t>Cifas</w:t>
      </w:r>
      <w:proofErr w:type="spellEnd"/>
      <w:r w:rsidR="003504E4" w:rsidRPr="0030111E">
        <w:rPr>
          <w:rFonts w:ascii="Arial" w:hAnsi="Arial" w:cs="Arial"/>
        </w:rPr>
        <w:t xml:space="preserve"> employee screening all the work streams in the Pro-Active Anti-Fraud Plan 2023/24 are on target for completion by the end of the financial year. </w:t>
      </w:r>
    </w:p>
    <w:p w14:paraId="003E7A1A" w14:textId="77777777" w:rsidR="00FA2A25" w:rsidRDefault="00FA2A25" w:rsidP="0031224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14:paraId="29A6CA97" w14:textId="77777777" w:rsidR="00FB02DE" w:rsidRDefault="00FB02DE" w:rsidP="00FB02DE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AA047CB" w14:textId="69D21E55" w:rsidR="000D3EA8" w:rsidRDefault="00834F65" w:rsidP="002956A9">
      <w:pPr>
        <w:pStyle w:val="ListParagraph"/>
        <w:shd w:val="clear" w:color="auto" w:fill="17365D" w:themeFill="text2" w:themeFillShade="BF"/>
        <w:ind w:left="0"/>
        <w:rPr>
          <w:rFonts w:ascii="Arial" w:eastAsia="+mj-ea" w:hAnsi="Arial" w:cs="+mj-cs"/>
          <w:b/>
          <w:bCs/>
          <w:color w:val="FFFFFF" w:themeColor="background1"/>
          <w:kern w:val="24"/>
          <w:sz w:val="22"/>
          <w:szCs w:val="22"/>
          <w:shd w:val="clear" w:color="auto" w:fill="17365D" w:themeFill="text2" w:themeFillShade="BF"/>
        </w:rPr>
      </w:pPr>
      <w:r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 </w:t>
      </w:r>
      <w:r w:rsidR="04BA733B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4.2  </w:t>
      </w:r>
      <w:r w:rsidR="000D3EA8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 </w:t>
      </w:r>
      <w:r w:rsidR="00890454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Progress against the </w:t>
      </w:r>
      <w:r w:rsidR="007A5396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2023/24 </w:t>
      </w:r>
      <w:r w:rsidR="00890454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Pro-</w:t>
      </w:r>
      <w:r w:rsidR="00F33EF3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A</w:t>
      </w:r>
      <w:r w:rsidR="00890454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ctive Anti-</w:t>
      </w:r>
      <w:r w:rsidR="004E7B4F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F</w:t>
      </w:r>
      <w:r w:rsidR="00890454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>raud</w:t>
      </w:r>
      <w:r w:rsidR="7A4D9DCC" w:rsidRPr="00A84446">
        <w:rPr>
          <w:rFonts w:ascii="Arial" w:eastAsia="+mj-ea" w:hAnsi="Arial" w:cs="+mj-cs"/>
          <w:b/>
          <w:bCs/>
          <w:color w:val="FFFFFF" w:themeColor="background1"/>
          <w:kern w:val="24"/>
          <w:sz w:val="32"/>
          <w:szCs w:val="32"/>
          <w:shd w:val="clear" w:color="auto" w:fill="17365D" w:themeFill="text2" w:themeFillShade="BF"/>
        </w:rPr>
        <w:t xml:space="preserve"> Plan </w:t>
      </w:r>
      <w:r w:rsidR="000D3EA8" w:rsidRPr="31C90F15">
        <w:rPr>
          <w:rFonts w:ascii="Arial" w:eastAsia="+mj-ea" w:hAnsi="Arial" w:cs="+mj-cs"/>
          <w:b/>
          <w:bCs/>
          <w:color w:val="FFFFFF" w:themeColor="background1"/>
          <w:sz w:val="32"/>
          <w:szCs w:val="32"/>
        </w:rPr>
        <w:t xml:space="preserve">                                </w:t>
      </w:r>
      <w:r w:rsidR="65553DBA" w:rsidRPr="31C90F15">
        <w:rPr>
          <w:rFonts w:ascii="Arial" w:eastAsia="+mj-ea" w:hAnsi="Arial" w:cs="+mj-cs"/>
          <w:b/>
          <w:bCs/>
          <w:color w:val="FFFFFF" w:themeColor="background1"/>
          <w:sz w:val="32"/>
          <w:szCs w:val="32"/>
        </w:rPr>
        <w:t xml:space="preserve">as </w:t>
      </w:r>
      <w:proofErr w:type="gramStart"/>
      <w:r w:rsidR="65553DBA" w:rsidRPr="31C90F15">
        <w:rPr>
          <w:rFonts w:ascii="Arial" w:eastAsia="+mj-ea" w:hAnsi="Arial" w:cs="+mj-cs"/>
          <w:b/>
          <w:bCs/>
          <w:color w:val="FFFFFF" w:themeColor="background1"/>
          <w:sz w:val="32"/>
          <w:szCs w:val="32"/>
        </w:rPr>
        <w:t>at</w:t>
      </w:r>
      <w:proofErr w:type="gramEnd"/>
      <w:r w:rsidR="65553DBA" w:rsidRPr="31C90F15">
        <w:rPr>
          <w:rFonts w:ascii="Arial" w:eastAsia="+mj-ea" w:hAnsi="Arial" w:cs="+mj-cs"/>
          <w:b/>
          <w:bCs/>
          <w:color w:val="FFFFFF" w:themeColor="background1"/>
          <w:sz w:val="32"/>
          <w:szCs w:val="32"/>
        </w:rPr>
        <w:t xml:space="preserve"> </w:t>
      </w:r>
      <w:r w:rsidR="007B79D1">
        <w:rPr>
          <w:rFonts w:ascii="Arial" w:eastAsia="+mj-ea" w:hAnsi="Arial" w:cs="+mj-cs"/>
          <w:b/>
          <w:bCs/>
          <w:color w:val="FFFFFF" w:themeColor="background1"/>
          <w:sz w:val="32"/>
          <w:szCs w:val="32"/>
        </w:rPr>
        <w:t>29 February 2024</w:t>
      </w:r>
      <w:r w:rsidR="00C77C15" w:rsidRPr="31C90F15">
        <w:rPr>
          <w:rFonts w:ascii="Arial" w:eastAsia="+mj-ea" w:hAnsi="Arial" w:cs="+mj-cs"/>
          <w:b/>
          <w:bCs/>
          <w:color w:val="FFFFFF" w:themeColor="background1"/>
          <w:sz w:val="32"/>
          <w:szCs w:val="32"/>
        </w:rPr>
        <w:t xml:space="preserve">  </w:t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522"/>
        <w:gridCol w:w="5876"/>
        <w:gridCol w:w="1439"/>
        <w:gridCol w:w="2231"/>
      </w:tblGrid>
      <w:tr w:rsidR="00E777BC" w14:paraId="116BD027" w14:textId="77777777" w:rsidTr="31C90F15">
        <w:tc>
          <w:tcPr>
            <w:tcW w:w="522" w:type="dxa"/>
            <w:shd w:val="clear" w:color="auto" w:fill="17365D" w:themeFill="text2" w:themeFillShade="BF"/>
          </w:tcPr>
          <w:p w14:paraId="63687FF8" w14:textId="77777777" w:rsidR="00772119" w:rsidRDefault="00772119" w:rsidP="00FD3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17365D" w:themeFill="text2" w:themeFillShade="BF"/>
          </w:tcPr>
          <w:p w14:paraId="6DD4A2AD" w14:textId="77777777" w:rsidR="00C77C15" w:rsidRDefault="00C77C15" w:rsidP="007226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F6499" w14:textId="6BD1E1E9" w:rsidR="00772119" w:rsidRPr="009B26B6" w:rsidRDefault="00203052" w:rsidP="007226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6B6">
              <w:rPr>
                <w:rFonts w:ascii="Arial" w:hAnsi="Arial" w:cs="Arial"/>
                <w:b/>
                <w:sz w:val="24"/>
                <w:szCs w:val="24"/>
              </w:rPr>
              <w:t>Fraud Work Stream</w:t>
            </w:r>
          </w:p>
          <w:p w14:paraId="55BE8859" w14:textId="48CFE9F6" w:rsidR="00E777BC" w:rsidRPr="009B26B6" w:rsidRDefault="00E777BC" w:rsidP="007226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17365D" w:themeFill="text2" w:themeFillShade="BF"/>
          </w:tcPr>
          <w:p w14:paraId="50A9C09D" w14:textId="77777777" w:rsidR="00C77C15" w:rsidRDefault="00C77C15" w:rsidP="00C77C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81AD9B" w14:textId="1171AA95" w:rsidR="00E777BC" w:rsidRPr="009B26B6" w:rsidRDefault="00772119" w:rsidP="00C77C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6B6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231" w:type="dxa"/>
            <w:shd w:val="clear" w:color="auto" w:fill="17365D" w:themeFill="text2" w:themeFillShade="BF"/>
          </w:tcPr>
          <w:p w14:paraId="459EA3B2" w14:textId="77777777" w:rsidR="00C77C15" w:rsidRDefault="00C77C15" w:rsidP="007226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EDBCAB" w14:textId="1B4F2081" w:rsidR="00E777BC" w:rsidRPr="009B26B6" w:rsidRDefault="00772119" w:rsidP="007226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26B6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E777BC" w14:paraId="052C3097" w14:textId="77777777" w:rsidTr="31C90F15">
        <w:tc>
          <w:tcPr>
            <w:tcW w:w="522" w:type="dxa"/>
          </w:tcPr>
          <w:p w14:paraId="4FF5F253" w14:textId="4B469A2A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1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701D2E73" w14:textId="0173AD22" w:rsidR="00E777BC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Corporate </w:t>
            </w:r>
            <w:r w:rsidR="008F278B" w:rsidRPr="00F60787">
              <w:rPr>
                <w:rFonts w:ascii="Arial" w:hAnsi="Arial" w:cs="Arial"/>
              </w:rPr>
              <w:t>F</w:t>
            </w:r>
            <w:r w:rsidRPr="00F60787">
              <w:rPr>
                <w:rFonts w:ascii="Arial" w:hAnsi="Arial" w:cs="Arial"/>
              </w:rPr>
              <w:t xml:space="preserve">raud </w:t>
            </w:r>
            <w:r w:rsidR="008F278B" w:rsidRPr="00F60787">
              <w:rPr>
                <w:rFonts w:ascii="Arial" w:hAnsi="Arial" w:cs="Arial"/>
              </w:rPr>
              <w:t>R</w:t>
            </w:r>
            <w:r w:rsidRPr="00F60787">
              <w:rPr>
                <w:rFonts w:ascii="Arial" w:hAnsi="Arial" w:cs="Arial"/>
              </w:rPr>
              <w:t xml:space="preserve">isk </w:t>
            </w:r>
            <w:r w:rsidR="008F278B" w:rsidRPr="00F60787">
              <w:rPr>
                <w:rFonts w:ascii="Arial" w:hAnsi="Arial" w:cs="Arial"/>
              </w:rPr>
              <w:t>A</w:t>
            </w:r>
            <w:r w:rsidRPr="00F60787">
              <w:rPr>
                <w:rFonts w:ascii="Arial" w:hAnsi="Arial" w:cs="Arial"/>
              </w:rPr>
              <w:t>ssessment</w:t>
            </w:r>
          </w:p>
        </w:tc>
        <w:tc>
          <w:tcPr>
            <w:tcW w:w="1439" w:type="dxa"/>
            <w:shd w:val="clear" w:color="auto" w:fill="00B050"/>
          </w:tcPr>
          <w:p w14:paraId="2A8BDA27" w14:textId="2D184DC1" w:rsidR="00E777BC" w:rsidRPr="00F60787" w:rsidRDefault="00772119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Completed</w:t>
            </w:r>
          </w:p>
        </w:tc>
        <w:tc>
          <w:tcPr>
            <w:tcW w:w="2231" w:type="dxa"/>
          </w:tcPr>
          <w:p w14:paraId="523CE50E" w14:textId="554DDB87" w:rsidR="00E777BC" w:rsidRPr="00F60787" w:rsidRDefault="00E777BC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77BC" w14:paraId="28202B8C" w14:textId="77777777" w:rsidTr="31C90F15">
        <w:tc>
          <w:tcPr>
            <w:tcW w:w="522" w:type="dxa"/>
          </w:tcPr>
          <w:p w14:paraId="376DCB1A" w14:textId="6E95276E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2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0B50D6EB" w14:textId="6D520109" w:rsidR="00E777BC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Corporate Anti-Fraud </w:t>
            </w:r>
            <w:r w:rsidR="70F9D4E3" w:rsidRPr="00F60787">
              <w:rPr>
                <w:rFonts w:ascii="Arial" w:hAnsi="Arial" w:cs="Arial"/>
              </w:rPr>
              <w:t>&amp;</w:t>
            </w:r>
            <w:r w:rsidRPr="00F60787">
              <w:rPr>
                <w:rFonts w:ascii="Arial" w:hAnsi="Arial" w:cs="Arial"/>
              </w:rPr>
              <w:t xml:space="preserve"> Corruption Strategy 2022-26</w:t>
            </w:r>
          </w:p>
        </w:tc>
        <w:tc>
          <w:tcPr>
            <w:tcW w:w="1439" w:type="dxa"/>
            <w:shd w:val="clear" w:color="auto" w:fill="00B050"/>
          </w:tcPr>
          <w:p w14:paraId="3751A27B" w14:textId="5E6B17A1" w:rsidR="00E777BC" w:rsidRPr="00F60787" w:rsidRDefault="00772119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Completed</w:t>
            </w:r>
          </w:p>
        </w:tc>
        <w:tc>
          <w:tcPr>
            <w:tcW w:w="2231" w:type="dxa"/>
          </w:tcPr>
          <w:p w14:paraId="51D3097F" w14:textId="23CD4119" w:rsidR="00E777BC" w:rsidRPr="00F60787" w:rsidRDefault="00E777BC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77BC" w14:paraId="32DBC80D" w14:textId="77777777" w:rsidTr="31C90F15">
        <w:tc>
          <w:tcPr>
            <w:tcW w:w="522" w:type="dxa"/>
          </w:tcPr>
          <w:p w14:paraId="0A5CF703" w14:textId="6B168F8F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3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75336E9A" w14:textId="04D68F0A" w:rsidR="00E777BC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Corporate Anti-Fraud </w:t>
            </w:r>
            <w:r w:rsidR="03E9037A" w:rsidRPr="00F60787">
              <w:rPr>
                <w:rFonts w:ascii="Arial" w:hAnsi="Arial" w:cs="Arial"/>
              </w:rPr>
              <w:t>&amp;</w:t>
            </w:r>
            <w:r w:rsidRPr="00F60787">
              <w:rPr>
                <w:rFonts w:ascii="Arial" w:hAnsi="Arial" w:cs="Arial"/>
              </w:rPr>
              <w:t xml:space="preserve"> Corruption Strategy 2022-26 </w:t>
            </w:r>
            <w:r w:rsidR="008F278B" w:rsidRPr="00F60787">
              <w:rPr>
                <w:rFonts w:ascii="Arial" w:hAnsi="Arial" w:cs="Arial"/>
              </w:rPr>
              <w:t>S</w:t>
            </w:r>
            <w:r w:rsidRPr="00F60787">
              <w:rPr>
                <w:rFonts w:ascii="Arial" w:hAnsi="Arial" w:cs="Arial"/>
              </w:rPr>
              <w:t>elf</w:t>
            </w:r>
            <w:r w:rsidR="214C0CCB" w:rsidRPr="00F60787">
              <w:rPr>
                <w:rFonts w:ascii="Arial" w:hAnsi="Arial" w:cs="Arial"/>
              </w:rPr>
              <w:t>-</w:t>
            </w:r>
            <w:r w:rsidRPr="00F60787">
              <w:rPr>
                <w:rFonts w:ascii="Arial" w:hAnsi="Arial" w:cs="Arial"/>
              </w:rPr>
              <w:t>assessment</w:t>
            </w:r>
          </w:p>
        </w:tc>
        <w:tc>
          <w:tcPr>
            <w:tcW w:w="1439" w:type="dxa"/>
            <w:shd w:val="clear" w:color="auto" w:fill="00B050"/>
          </w:tcPr>
          <w:p w14:paraId="5126F47E" w14:textId="247C7437" w:rsidR="00E777BC" w:rsidRPr="00F60787" w:rsidRDefault="00B671DF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On target</w:t>
            </w:r>
          </w:p>
        </w:tc>
        <w:tc>
          <w:tcPr>
            <w:tcW w:w="2231" w:type="dxa"/>
          </w:tcPr>
          <w:p w14:paraId="5E7E6B00" w14:textId="77777777" w:rsidR="00E777BC" w:rsidRPr="00F60787" w:rsidRDefault="00E777BC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77BC" w14:paraId="7CFF7F21" w14:textId="77777777" w:rsidTr="31C90F15">
        <w:tc>
          <w:tcPr>
            <w:tcW w:w="522" w:type="dxa"/>
          </w:tcPr>
          <w:p w14:paraId="7AE6AB73" w14:textId="5B8E50AA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4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34966786" w14:textId="55536215" w:rsidR="00E777BC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National Fraud Initiative co-ordination role</w:t>
            </w:r>
          </w:p>
        </w:tc>
        <w:tc>
          <w:tcPr>
            <w:tcW w:w="1439" w:type="dxa"/>
            <w:shd w:val="clear" w:color="auto" w:fill="00B050"/>
          </w:tcPr>
          <w:p w14:paraId="090E607E" w14:textId="6B3D263F" w:rsidR="00E777BC" w:rsidRPr="00F60787" w:rsidRDefault="00952CD3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On target</w:t>
            </w:r>
          </w:p>
        </w:tc>
        <w:tc>
          <w:tcPr>
            <w:tcW w:w="2231" w:type="dxa"/>
          </w:tcPr>
          <w:p w14:paraId="079868F7" w14:textId="77777777" w:rsidR="00E777BC" w:rsidRPr="00F60787" w:rsidRDefault="00E777BC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77BC" w14:paraId="59E1EE5C" w14:textId="77777777" w:rsidTr="31C90F15">
        <w:tc>
          <w:tcPr>
            <w:tcW w:w="522" w:type="dxa"/>
          </w:tcPr>
          <w:p w14:paraId="7CB07DE0" w14:textId="7DB9835D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5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70BD060D" w14:textId="7445FA78" w:rsidR="00E777BC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Fraud </w:t>
            </w:r>
            <w:r w:rsidR="008F278B" w:rsidRPr="00F60787">
              <w:rPr>
                <w:rFonts w:ascii="Arial" w:hAnsi="Arial" w:cs="Arial"/>
              </w:rPr>
              <w:t>E</w:t>
            </w:r>
            <w:r w:rsidRPr="00F60787">
              <w:rPr>
                <w:rFonts w:ascii="Arial" w:hAnsi="Arial" w:cs="Arial"/>
              </w:rPr>
              <w:t>-learning</w:t>
            </w:r>
          </w:p>
        </w:tc>
        <w:tc>
          <w:tcPr>
            <w:tcW w:w="1439" w:type="dxa"/>
            <w:shd w:val="clear" w:color="auto" w:fill="00B050"/>
          </w:tcPr>
          <w:p w14:paraId="1E9E24AC" w14:textId="0AB22D33" w:rsidR="00E777BC" w:rsidRPr="00F60787" w:rsidRDefault="00772119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Completed</w:t>
            </w:r>
          </w:p>
        </w:tc>
        <w:tc>
          <w:tcPr>
            <w:tcW w:w="2231" w:type="dxa"/>
          </w:tcPr>
          <w:p w14:paraId="33F1AF61" w14:textId="0EB740D7" w:rsidR="00E777BC" w:rsidRPr="00F60787" w:rsidRDefault="00E777BC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77BC" w14:paraId="6D999A04" w14:textId="77777777" w:rsidTr="31C90F15">
        <w:tc>
          <w:tcPr>
            <w:tcW w:w="522" w:type="dxa"/>
          </w:tcPr>
          <w:p w14:paraId="3134257B" w14:textId="50F17F6B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6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4B821C42" w14:textId="025926DA" w:rsidR="00E777BC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60787">
              <w:rPr>
                <w:rFonts w:ascii="Arial" w:hAnsi="Arial" w:cs="Arial"/>
              </w:rPr>
              <w:t>Cifas</w:t>
            </w:r>
            <w:proofErr w:type="spellEnd"/>
            <w:r w:rsidRPr="00F60787">
              <w:rPr>
                <w:rFonts w:ascii="Arial" w:hAnsi="Arial" w:cs="Arial"/>
              </w:rPr>
              <w:t xml:space="preserve"> employee screening</w:t>
            </w:r>
          </w:p>
        </w:tc>
        <w:tc>
          <w:tcPr>
            <w:tcW w:w="1439" w:type="dxa"/>
            <w:shd w:val="clear" w:color="auto" w:fill="FF9900"/>
          </w:tcPr>
          <w:p w14:paraId="5982EBD6" w14:textId="7AA70FD6" w:rsidR="00E777BC" w:rsidRPr="00F60787" w:rsidRDefault="00772119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In progress</w:t>
            </w:r>
          </w:p>
        </w:tc>
        <w:tc>
          <w:tcPr>
            <w:tcW w:w="2231" w:type="dxa"/>
          </w:tcPr>
          <w:p w14:paraId="0E9E651C" w14:textId="11D27539" w:rsidR="00E777BC" w:rsidRPr="00F60787" w:rsidRDefault="00C64D48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F</w:t>
            </w:r>
            <w:r w:rsidR="00B44901" w:rsidRPr="00F60787">
              <w:rPr>
                <w:rFonts w:ascii="Arial" w:hAnsi="Arial" w:cs="Arial"/>
              </w:rPr>
              <w:t>urther consultation required</w:t>
            </w:r>
          </w:p>
        </w:tc>
      </w:tr>
      <w:tr w:rsidR="00E777BC" w14:paraId="36A15BB8" w14:textId="77777777" w:rsidTr="31C90F15">
        <w:tc>
          <w:tcPr>
            <w:tcW w:w="522" w:type="dxa"/>
          </w:tcPr>
          <w:p w14:paraId="17863422" w14:textId="5BB216CB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7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38B68A28" w14:textId="35C3E2FE" w:rsidR="00E777BC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Corporate </w:t>
            </w:r>
            <w:r w:rsidR="008F278B" w:rsidRPr="00F60787">
              <w:rPr>
                <w:rFonts w:ascii="Arial" w:hAnsi="Arial" w:cs="Arial"/>
              </w:rPr>
              <w:t>A</w:t>
            </w:r>
            <w:r w:rsidRPr="00F60787">
              <w:rPr>
                <w:rFonts w:ascii="Arial" w:hAnsi="Arial" w:cs="Arial"/>
              </w:rPr>
              <w:t>nti-</w:t>
            </w:r>
            <w:r w:rsidR="008F278B" w:rsidRPr="00F60787">
              <w:rPr>
                <w:rFonts w:ascii="Arial" w:hAnsi="Arial" w:cs="Arial"/>
              </w:rPr>
              <w:t>F</w:t>
            </w:r>
            <w:r w:rsidRPr="00F60787">
              <w:rPr>
                <w:rFonts w:ascii="Arial" w:hAnsi="Arial" w:cs="Arial"/>
              </w:rPr>
              <w:t xml:space="preserve">raud </w:t>
            </w:r>
            <w:r w:rsidR="008F278B" w:rsidRPr="00F60787">
              <w:rPr>
                <w:rFonts w:ascii="Arial" w:hAnsi="Arial" w:cs="Arial"/>
              </w:rPr>
              <w:t>A</w:t>
            </w:r>
            <w:r w:rsidRPr="00F60787">
              <w:rPr>
                <w:rFonts w:ascii="Arial" w:hAnsi="Arial" w:cs="Arial"/>
              </w:rPr>
              <w:t>wareness</w:t>
            </w:r>
          </w:p>
        </w:tc>
        <w:tc>
          <w:tcPr>
            <w:tcW w:w="1439" w:type="dxa"/>
            <w:shd w:val="clear" w:color="auto" w:fill="00B050"/>
          </w:tcPr>
          <w:p w14:paraId="4DDF005D" w14:textId="6B9C162C" w:rsidR="00E777BC" w:rsidRPr="00F60787" w:rsidRDefault="00E24FB5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On target</w:t>
            </w:r>
          </w:p>
        </w:tc>
        <w:tc>
          <w:tcPr>
            <w:tcW w:w="2231" w:type="dxa"/>
          </w:tcPr>
          <w:p w14:paraId="7F1DD5D5" w14:textId="77777777" w:rsidR="00E777BC" w:rsidRPr="00F60787" w:rsidRDefault="00E777BC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119" w14:paraId="37E38C75" w14:textId="77777777" w:rsidTr="31C90F15">
        <w:tc>
          <w:tcPr>
            <w:tcW w:w="522" w:type="dxa"/>
          </w:tcPr>
          <w:p w14:paraId="38643F80" w14:textId="5A214B4D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8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29C59208" w14:textId="7C6BAFCB" w:rsidR="00772119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Fraud </w:t>
            </w:r>
            <w:r w:rsidR="008F278B" w:rsidRPr="00F60787">
              <w:rPr>
                <w:rFonts w:ascii="Arial" w:hAnsi="Arial" w:cs="Arial"/>
              </w:rPr>
              <w:t>L</w:t>
            </w:r>
            <w:r w:rsidRPr="00F60787">
              <w:rPr>
                <w:rFonts w:ascii="Arial" w:hAnsi="Arial" w:cs="Arial"/>
              </w:rPr>
              <w:t>iaison</w:t>
            </w:r>
          </w:p>
        </w:tc>
        <w:tc>
          <w:tcPr>
            <w:tcW w:w="1439" w:type="dxa"/>
            <w:shd w:val="clear" w:color="auto" w:fill="00B050"/>
          </w:tcPr>
          <w:p w14:paraId="1B800B5C" w14:textId="1B924F71" w:rsidR="00772119" w:rsidRPr="00F60787" w:rsidRDefault="00E23A80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On target</w:t>
            </w:r>
          </w:p>
        </w:tc>
        <w:tc>
          <w:tcPr>
            <w:tcW w:w="2231" w:type="dxa"/>
          </w:tcPr>
          <w:p w14:paraId="1A4082B8" w14:textId="77777777" w:rsidR="00772119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119" w14:paraId="6F1E6FAC" w14:textId="77777777" w:rsidTr="31C90F15">
        <w:tc>
          <w:tcPr>
            <w:tcW w:w="522" w:type="dxa"/>
          </w:tcPr>
          <w:p w14:paraId="7875A344" w14:textId="4A52B5D8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9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5EB9596B" w14:textId="00EF53FC" w:rsidR="00772119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Challenging Organised Crime Groups (OCG’s)</w:t>
            </w:r>
          </w:p>
        </w:tc>
        <w:tc>
          <w:tcPr>
            <w:tcW w:w="1439" w:type="dxa"/>
            <w:shd w:val="clear" w:color="auto" w:fill="00B050"/>
          </w:tcPr>
          <w:p w14:paraId="07A84FC4" w14:textId="0B3AACAC" w:rsidR="00772119" w:rsidRPr="00F60787" w:rsidRDefault="00B123C8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Completed</w:t>
            </w:r>
          </w:p>
        </w:tc>
        <w:tc>
          <w:tcPr>
            <w:tcW w:w="2231" w:type="dxa"/>
          </w:tcPr>
          <w:p w14:paraId="5F08C946" w14:textId="77777777" w:rsidR="00772119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119" w14:paraId="5560945C" w14:textId="77777777" w:rsidTr="00965811">
        <w:tc>
          <w:tcPr>
            <w:tcW w:w="522" w:type="dxa"/>
          </w:tcPr>
          <w:p w14:paraId="45055297" w14:textId="6216F662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10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7DAF133D" w14:textId="2B485CAB" w:rsidR="00772119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Housing </w:t>
            </w:r>
            <w:r w:rsidR="008F278B" w:rsidRPr="00F60787">
              <w:rPr>
                <w:rFonts w:ascii="Arial" w:hAnsi="Arial" w:cs="Arial"/>
              </w:rPr>
              <w:t>F</w:t>
            </w:r>
            <w:r w:rsidRPr="00F60787">
              <w:rPr>
                <w:rFonts w:ascii="Arial" w:hAnsi="Arial" w:cs="Arial"/>
              </w:rPr>
              <w:t>raud</w:t>
            </w:r>
          </w:p>
        </w:tc>
        <w:tc>
          <w:tcPr>
            <w:tcW w:w="1439" w:type="dxa"/>
            <w:shd w:val="clear" w:color="auto" w:fill="F79646" w:themeFill="accent6"/>
          </w:tcPr>
          <w:p w14:paraId="408211CE" w14:textId="04A85C05" w:rsidR="00772119" w:rsidRPr="00F60787" w:rsidRDefault="00965811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  <w:tc>
          <w:tcPr>
            <w:tcW w:w="2231" w:type="dxa"/>
          </w:tcPr>
          <w:p w14:paraId="58F1F569" w14:textId="4633A240" w:rsidR="00772119" w:rsidRPr="00F60787" w:rsidRDefault="00DC09CE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See KPI’s below</w:t>
            </w:r>
          </w:p>
        </w:tc>
      </w:tr>
      <w:tr w:rsidR="00772119" w14:paraId="4D915E82" w14:textId="77777777" w:rsidTr="31C90F15">
        <w:tc>
          <w:tcPr>
            <w:tcW w:w="522" w:type="dxa"/>
          </w:tcPr>
          <w:p w14:paraId="4B5383B4" w14:textId="25F7026B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11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46774442" w14:textId="4E0A709C" w:rsidR="00772119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 xml:space="preserve">Social </w:t>
            </w:r>
            <w:r w:rsidR="008F278B" w:rsidRPr="00F60787">
              <w:rPr>
                <w:rFonts w:ascii="Arial" w:hAnsi="Arial" w:cs="Arial"/>
              </w:rPr>
              <w:t>C</w:t>
            </w:r>
            <w:r w:rsidRPr="00F60787">
              <w:rPr>
                <w:rFonts w:ascii="Arial" w:hAnsi="Arial" w:cs="Arial"/>
              </w:rPr>
              <w:t xml:space="preserve">are </w:t>
            </w:r>
            <w:r w:rsidR="008F278B" w:rsidRPr="00F60787">
              <w:rPr>
                <w:rFonts w:ascii="Arial" w:hAnsi="Arial" w:cs="Arial"/>
              </w:rPr>
              <w:t>F</w:t>
            </w:r>
            <w:r w:rsidRPr="00F60787">
              <w:rPr>
                <w:rFonts w:ascii="Arial" w:hAnsi="Arial" w:cs="Arial"/>
              </w:rPr>
              <w:t>raud</w:t>
            </w:r>
          </w:p>
        </w:tc>
        <w:tc>
          <w:tcPr>
            <w:tcW w:w="1439" w:type="dxa"/>
            <w:shd w:val="clear" w:color="auto" w:fill="00B050"/>
          </w:tcPr>
          <w:p w14:paraId="68827A5B" w14:textId="698AE083" w:rsidR="00772119" w:rsidRPr="00F60787" w:rsidRDefault="00952CD3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On target</w:t>
            </w:r>
          </w:p>
        </w:tc>
        <w:tc>
          <w:tcPr>
            <w:tcW w:w="2231" w:type="dxa"/>
          </w:tcPr>
          <w:p w14:paraId="709CE1DA" w14:textId="77777777" w:rsidR="00772119" w:rsidRPr="00F60787" w:rsidRDefault="00772119" w:rsidP="007226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2119" w14:paraId="5D28D777" w14:textId="77777777" w:rsidTr="31C90F15">
        <w:tc>
          <w:tcPr>
            <w:tcW w:w="522" w:type="dxa"/>
          </w:tcPr>
          <w:p w14:paraId="40609DD5" w14:textId="10247D2B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12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5CE373DF" w14:textId="0AF05103" w:rsidR="00772119" w:rsidRPr="00F60787" w:rsidRDefault="3ECF2BAB" w:rsidP="007226D6">
            <w:pPr>
              <w:spacing w:after="0" w:line="240" w:lineRule="auto"/>
              <w:rPr>
                <w:rFonts w:ascii="Arial" w:hAnsi="Arial" w:cs="Arial"/>
              </w:rPr>
            </w:pPr>
            <w:r w:rsidRPr="31C90F15">
              <w:rPr>
                <w:rFonts w:ascii="Arial" w:hAnsi="Arial" w:cs="Arial"/>
              </w:rPr>
              <w:t xml:space="preserve">Risk </w:t>
            </w:r>
            <w:bookmarkStart w:id="10" w:name="_Int_uBaux2cv"/>
            <w:proofErr w:type="gramStart"/>
            <w:r w:rsidRPr="31C90F15">
              <w:rPr>
                <w:rFonts w:ascii="Arial" w:hAnsi="Arial" w:cs="Arial"/>
              </w:rPr>
              <w:t>assess</w:t>
            </w:r>
            <w:bookmarkEnd w:id="10"/>
            <w:proofErr w:type="gramEnd"/>
            <w:r w:rsidRPr="31C90F15">
              <w:rPr>
                <w:rFonts w:ascii="Arial" w:hAnsi="Arial" w:cs="Arial"/>
              </w:rPr>
              <w:t xml:space="preserve"> allegations of internal fraud and corruption</w:t>
            </w:r>
          </w:p>
        </w:tc>
        <w:tc>
          <w:tcPr>
            <w:tcW w:w="1439" w:type="dxa"/>
            <w:shd w:val="clear" w:color="auto" w:fill="00B050"/>
          </w:tcPr>
          <w:p w14:paraId="1CE11944" w14:textId="588E8720" w:rsidR="00772119" w:rsidRPr="00F60787" w:rsidRDefault="00952CD3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On target</w:t>
            </w:r>
          </w:p>
        </w:tc>
        <w:tc>
          <w:tcPr>
            <w:tcW w:w="2231" w:type="dxa"/>
          </w:tcPr>
          <w:p w14:paraId="029304B9" w14:textId="3C617C42" w:rsidR="00772119" w:rsidRPr="00F60787" w:rsidRDefault="00FA11C1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See KPI’s below</w:t>
            </w:r>
          </w:p>
        </w:tc>
      </w:tr>
      <w:tr w:rsidR="00772119" w14:paraId="05A3BF9F" w14:textId="77777777" w:rsidTr="31C90F15">
        <w:tc>
          <w:tcPr>
            <w:tcW w:w="522" w:type="dxa"/>
          </w:tcPr>
          <w:p w14:paraId="693F60A0" w14:textId="62E29A3C" w:rsidR="00772119" w:rsidRPr="00F60787" w:rsidRDefault="00772119" w:rsidP="00F607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13</w:t>
            </w:r>
            <w:r w:rsidR="00F60787">
              <w:rPr>
                <w:rFonts w:ascii="Arial" w:hAnsi="Arial" w:cs="Arial"/>
              </w:rPr>
              <w:t>.</w:t>
            </w:r>
          </w:p>
        </w:tc>
        <w:tc>
          <w:tcPr>
            <w:tcW w:w="5876" w:type="dxa"/>
          </w:tcPr>
          <w:p w14:paraId="02DEDB29" w14:textId="797ACF6A" w:rsidR="00772119" w:rsidRPr="00F60787" w:rsidRDefault="3ECF2BAB" w:rsidP="007226D6">
            <w:pPr>
              <w:spacing w:after="0" w:line="240" w:lineRule="auto"/>
              <w:rPr>
                <w:rFonts w:ascii="Arial" w:hAnsi="Arial" w:cs="Arial"/>
              </w:rPr>
            </w:pPr>
            <w:r w:rsidRPr="31C90F15">
              <w:rPr>
                <w:rFonts w:ascii="Arial" w:hAnsi="Arial" w:cs="Arial"/>
              </w:rPr>
              <w:t xml:space="preserve">Risk </w:t>
            </w:r>
            <w:bookmarkStart w:id="11" w:name="_Int_wEyi6XdT"/>
            <w:proofErr w:type="gramStart"/>
            <w:r w:rsidRPr="31C90F15">
              <w:rPr>
                <w:rFonts w:ascii="Arial" w:hAnsi="Arial" w:cs="Arial"/>
              </w:rPr>
              <w:t>assess</w:t>
            </w:r>
            <w:bookmarkEnd w:id="11"/>
            <w:proofErr w:type="gramEnd"/>
            <w:r w:rsidRPr="31C90F15">
              <w:rPr>
                <w:rFonts w:ascii="Arial" w:hAnsi="Arial" w:cs="Arial"/>
              </w:rPr>
              <w:t xml:space="preserve"> allegations of fraud and corruption </w:t>
            </w:r>
          </w:p>
        </w:tc>
        <w:tc>
          <w:tcPr>
            <w:tcW w:w="1439" w:type="dxa"/>
            <w:shd w:val="clear" w:color="auto" w:fill="00B050"/>
          </w:tcPr>
          <w:p w14:paraId="3A8A5FBA" w14:textId="6CA5B1D4" w:rsidR="00772119" w:rsidRPr="00F60787" w:rsidRDefault="00952CD3" w:rsidP="00C77C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On target</w:t>
            </w:r>
          </w:p>
        </w:tc>
        <w:tc>
          <w:tcPr>
            <w:tcW w:w="2231" w:type="dxa"/>
          </w:tcPr>
          <w:p w14:paraId="69874660" w14:textId="3729C926" w:rsidR="00772119" w:rsidRPr="00F60787" w:rsidRDefault="007E5E86" w:rsidP="007226D6">
            <w:pPr>
              <w:spacing w:after="0" w:line="240" w:lineRule="auto"/>
              <w:rPr>
                <w:rFonts w:ascii="Arial" w:hAnsi="Arial" w:cs="Arial"/>
              </w:rPr>
            </w:pPr>
            <w:r w:rsidRPr="00F60787">
              <w:rPr>
                <w:rFonts w:ascii="Arial" w:hAnsi="Arial" w:cs="Arial"/>
              </w:rPr>
              <w:t>See</w:t>
            </w:r>
            <w:r w:rsidR="00FA11C1" w:rsidRPr="00F60787">
              <w:rPr>
                <w:rFonts w:ascii="Arial" w:hAnsi="Arial" w:cs="Arial"/>
              </w:rPr>
              <w:t xml:space="preserve"> KPI’s below</w:t>
            </w:r>
          </w:p>
        </w:tc>
      </w:tr>
    </w:tbl>
    <w:p w14:paraId="6679E421" w14:textId="01754E5D" w:rsidR="00DD223B" w:rsidRDefault="00FB02DE" w:rsidP="00FB02DE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33EF3">
        <w:rPr>
          <w:rFonts w:ascii="Arial" w:hAnsi="Arial" w:cs="Arial"/>
          <w:sz w:val="16"/>
          <w:szCs w:val="16"/>
        </w:rPr>
        <w:t xml:space="preserve">Table </w:t>
      </w:r>
      <w:r w:rsidR="00172670">
        <w:rPr>
          <w:rFonts w:ascii="Arial" w:hAnsi="Arial" w:cs="Arial"/>
          <w:sz w:val="16"/>
          <w:szCs w:val="16"/>
        </w:rPr>
        <w:t>8</w:t>
      </w:r>
    </w:p>
    <w:p w14:paraId="490F795C" w14:textId="77777777" w:rsidR="00F33EF3" w:rsidRPr="00FB02DE" w:rsidRDefault="00F33EF3" w:rsidP="00FB02DE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C6236E4" w14:textId="77777777" w:rsidR="006E37C7" w:rsidRDefault="006E37C7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1AC34059" w14:textId="3A4AE317" w:rsidR="007226D6" w:rsidRPr="004E7B4F" w:rsidRDefault="00A84446" w:rsidP="00FB2365">
      <w:pPr>
        <w:shd w:val="clear" w:color="auto" w:fill="00206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>4</w:t>
      </w:r>
      <w:r w:rsidR="004E7B4F" w:rsidRPr="523A79D0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 xml:space="preserve">.3  </w:t>
      </w:r>
      <w:r w:rsidR="00653A81" w:rsidRPr="523A79D0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>Performance</w:t>
      </w:r>
      <w:proofErr w:type="gramEnd"/>
      <w:r w:rsidR="00653A81" w:rsidRPr="523A79D0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 xml:space="preserve"> of CAFT</w:t>
      </w:r>
      <w:r w:rsidR="0082371E" w:rsidRPr="523A79D0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 xml:space="preserve"> </w:t>
      </w:r>
      <w:r w:rsidR="00523550" w:rsidRPr="523A79D0">
        <w:rPr>
          <w:rFonts w:ascii="Arial" w:hAnsi="Arial" w:cs="Arial"/>
          <w:b/>
          <w:bCs/>
          <w:sz w:val="32"/>
          <w:szCs w:val="32"/>
          <w:shd w:val="clear" w:color="auto" w:fill="17365D" w:themeFill="text2" w:themeFillShade="BF"/>
        </w:rPr>
        <w:t>at 31 December 2023</w:t>
      </w:r>
    </w:p>
    <w:p w14:paraId="214587F0" w14:textId="77777777" w:rsidR="0063663C" w:rsidRDefault="0063663C" w:rsidP="0063663C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AD299AF" w14:textId="59D44EF1" w:rsidR="0063663C" w:rsidRDefault="0063663C" w:rsidP="0063663C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6D536EC0">
        <w:rPr>
          <w:rFonts w:ascii="Arial" w:hAnsi="Arial" w:cs="Arial"/>
        </w:rPr>
        <w:t xml:space="preserve">A number of Key Performance Indicators (KPIs) were agreed as part of the 2023/24 </w:t>
      </w:r>
      <w:r>
        <w:rPr>
          <w:rFonts w:ascii="Arial" w:hAnsi="Arial" w:cs="Arial"/>
        </w:rPr>
        <w:t>Pro-</w:t>
      </w:r>
      <w:r w:rsidR="008315E7">
        <w:rPr>
          <w:rFonts w:ascii="Arial" w:hAnsi="Arial" w:cs="Arial"/>
        </w:rPr>
        <w:t>A</w:t>
      </w:r>
      <w:r>
        <w:rPr>
          <w:rFonts w:ascii="Arial" w:hAnsi="Arial" w:cs="Arial"/>
        </w:rPr>
        <w:t>ctive Anti</w:t>
      </w:r>
      <w:r w:rsidR="005D421A">
        <w:rPr>
          <w:rFonts w:ascii="Arial" w:hAnsi="Arial" w:cs="Arial"/>
        </w:rPr>
        <w:t>-</w:t>
      </w:r>
      <w:r>
        <w:rPr>
          <w:rFonts w:ascii="Arial" w:hAnsi="Arial" w:cs="Arial"/>
        </w:rPr>
        <w:t>Fraud</w:t>
      </w:r>
      <w:r w:rsidRPr="6D536EC0">
        <w:rPr>
          <w:rFonts w:ascii="Arial" w:hAnsi="Arial" w:cs="Arial"/>
        </w:rPr>
        <w:t xml:space="preserve"> Plan, performance against these </w:t>
      </w:r>
      <w:proofErr w:type="gramStart"/>
      <w:r w:rsidRPr="6D536EC0">
        <w:rPr>
          <w:rFonts w:ascii="Arial" w:hAnsi="Arial" w:cs="Arial"/>
        </w:rPr>
        <w:t>are</w:t>
      </w:r>
      <w:proofErr w:type="gramEnd"/>
      <w:r w:rsidRPr="6D536EC0">
        <w:rPr>
          <w:rFonts w:ascii="Arial" w:hAnsi="Arial" w:cs="Arial"/>
        </w:rPr>
        <w:t xml:space="preserve"> set out in </w:t>
      </w:r>
      <w:r w:rsidRPr="005369EA">
        <w:rPr>
          <w:rFonts w:ascii="Arial" w:hAnsi="Arial" w:cs="Arial"/>
        </w:rPr>
        <w:t xml:space="preserve">Table </w:t>
      </w:r>
      <w:r w:rsidR="00172670">
        <w:rPr>
          <w:rFonts w:ascii="Arial" w:hAnsi="Arial" w:cs="Arial"/>
        </w:rPr>
        <w:t>9</w:t>
      </w:r>
      <w:r w:rsidRPr="005369EA">
        <w:rPr>
          <w:rFonts w:ascii="Arial" w:hAnsi="Arial" w:cs="Arial"/>
        </w:rPr>
        <w:t xml:space="preserve"> below.</w:t>
      </w:r>
    </w:p>
    <w:p w14:paraId="4F885CFD" w14:textId="77777777"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297"/>
        <w:gridCol w:w="979"/>
        <w:gridCol w:w="993"/>
        <w:gridCol w:w="2384"/>
      </w:tblGrid>
      <w:tr w:rsidR="005075B1" w:rsidRPr="007C128F" w14:paraId="19032081" w14:textId="77777777" w:rsidTr="31C90F15">
        <w:trPr>
          <w:trHeight w:val="3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0EE29F2" w14:textId="77777777" w:rsidR="007C128F" w:rsidRPr="007C128F" w:rsidRDefault="007C128F" w:rsidP="007C12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No.</w:t>
            </w:r>
            <w:r w:rsidRPr="007C12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BCC054E" w14:textId="1B8C7A27" w:rsidR="007C128F" w:rsidRPr="007C128F" w:rsidRDefault="007C128F" w:rsidP="007C12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Key Performance Indicators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2023/24</w:t>
            </w:r>
            <w:r w:rsidRPr="007C12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CF43364" w14:textId="77777777" w:rsidR="007C128F" w:rsidRPr="007C128F" w:rsidRDefault="007C128F" w:rsidP="007C12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2F6443B1" w14:textId="14A4C301" w:rsidR="007C128F" w:rsidRPr="007C128F" w:rsidRDefault="007C128F" w:rsidP="006956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Year-end target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3485B844" w14:textId="3D22E6E5" w:rsidR="007C128F" w:rsidRPr="007C128F" w:rsidRDefault="009760F3" w:rsidP="006956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Output at </w:t>
            </w:r>
            <w:r w:rsidR="00642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end </w:t>
            </w:r>
            <w:r w:rsidR="007B7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Feb 2</w:t>
            </w:r>
            <w:r w:rsidR="001A77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024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8FACFD0" w14:textId="2D9E5710" w:rsidR="007C128F" w:rsidRPr="007C128F" w:rsidRDefault="007C128F" w:rsidP="006956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Comments</w:t>
            </w:r>
          </w:p>
        </w:tc>
      </w:tr>
      <w:tr w:rsidR="0069562E" w:rsidRPr="007C128F" w14:paraId="07FB3597" w14:textId="77777777" w:rsidTr="31C90F15">
        <w:trPr>
          <w:trHeight w:val="1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2A259" w14:textId="5C6DC2E1" w:rsidR="007C128F" w:rsidRPr="007C128F" w:rsidRDefault="007C128F" w:rsidP="00FD3E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ADCEF" w14:textId="3E3F03E4" w:rsidR="007C128F" w:rsidRPr="009659F5" w:rsidRDefault="00B00BA3" w:rsidP="00FD3EEE">
            <w:pPr>
              <w:spacing w:after="0" w:line="240" w:lineRule="auto"/>
              <w:rPr>
                <w:rFonts w:ascii="Arial" w:hAnsi="Arial" w:cs="Arial"/>
              </w:rPr>
            </w:pPr>
            <w:r w:rsidRPr="009659F5">
              <w:rPr>
                <w:rFonts w:ascii="Arial" w:hAnsi="Arial" w:cs="Arial"/>
              </w:rPr>
              <w:t>Seek to recover a combined total of 11 Council social housing units and disrupt/intercept fraudulent Right to Buy applications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A6D13" w14:textId="0FC60E35" w:rsidR="007C128F" w:rsidRPr="0064253A" w:rsidRDefault="00E72F90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64253A">
              <w:rPr>
                <w:rFonts w:ascii="Arial" w:eastAsia="Arial" w:hAnsi="Arial" w:cs="Arial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77135" w14:textId="2EF322A9" w:rsidR="007C128F" w:rsidRPr="00AF509E" w:rsidRDefault="00A14C0F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AF509E">
              <w:rPr>
                <w:rFonts w:ascii="Arial" w:eastAsia="Arial" w:hAnsi="Arial" w:cs="Arial"/>
                <w:lang w:eastAsia="en-GB"/>
              </w:rPr>
              <w:t>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FC42" w14:textId="58E97FCC" w:rsidR="007C128F" w:rsidRPr="0064253A" w:rsidRDefault="00624CD1" w:rsidP="007C128F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In progress</w:t>
            </w:r>
            <w:r w:rsidR="00A14C0F" w:rsidRPr="0064253A">
              <w:rPr>
                <w:rFonts w:ascii="Arial" w:eastAsia="Arial" w:hAnsi="Arial" w:cs="Arial"/>
                <w:lang w:eastAsia="en-GB"/>
              </w:rPr>
              <w:t xml:space="preserve"> </w:t>
            </w:r>
          </w:p>
        </w:tc>
      </w:tr>
      <w:tr w:rsidR="0069562E" w:rsidRPr="007C128F" w14:paraId="22487CC1" w14:textId="77777777" w:rsidTr="31C90F15">
        <w:trPr>
          <w:trHeight w:val="1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38B84" w14:textId="79DA11B8" w:rsidR="007C128F" w:rsidRPr="007C128F" w:rsidRDefault="007C128F" w:rsidP="00FD3E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5DEF" w14:textId="74A29F20" w:rsidR="007C128F" w:rsidRPr="00FD3EEE" w:rsidRDefault="00CA20C0" w:rsidP="007C128F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9659F5">
              <w:rPr>
                <w:rFonts w:ascii="Arial" w:hAnsi="Arial" w:cs="Arial"/>
              </w:rPr>
              <w:t>Fraud validation checks commenced on Right to Buy applications and resources deployed in 10 working days with 100% check before purchase completion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B83D8" w14:textId="75D23421" w:rsidR="007C128F" w:rsidRPr="0064253A" w:rsidRDefault="00940215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64253A">
              <w:rPr>
                <w:rFonts w:ascii="Arial" w:eastAsia="Arial" w:hAnsi="Arial" w:cs="Arial"/>
                <w:lang w:eastAsia="en-GB"/>
              </w:rPr>
              <w:t>90%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12E26" w14:textId="77777777" w:rsidR="0064253A" w:rsidRPr="00AF509E" w:rsidRDefault="005F077A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AF509E">
              <w:rPr>
                <w:rFonts w:ascii="Arial" w:eastAsia="Arial" w:hAnsi="Arial" w:cs="Arial"/>
                <w:lang w:eastAsia="en-GB"/>
              </w:rPr>
              <w:t>100%</w:t>
            </w:r>
            <w:r w:rsidR="00EF25D9" w:rsidRPr="00AF509E">
              <w:rPr>
                <w:rFonts w:ascii="Arial" w:eastAsia="Arial" w:hAnsi="Arial" w:cs="Arial"/>
                <w:lang w:eastAsia="en-GB"/>
              </w:rPr>
              <w:t xml:space="preserve"> </w:t>
            </w:r>
          </w:p>
          <w:p w14:paraId="2C6DF692" w14:textId="3950B851" w:rsidR="007C128F" w:rsidRPr="00AF509E" w:rsidRDefault="004F75F6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AF509E">
              <w:rPr>
                <w:rFonts w:ascii="Arial" w:eastAsia="Arial" w:hAnsi="Arial" w:cs="Arial"/>
                <w:lang w:eastAsia="en-GB"/>
              </w:rPr>
              <w:t>(</w:t>
            </w:r>
            <w:r w:rsidR="0033439E" w:rsidRPr="00AF509E">
              <w:rPr>
                <w:rFonts w:ascii="Arial" w:eastAsia="Arial" w:hAnsi="Arial" w:cs="Arial"/>
                <w:lang w:eastAsia="en-GB"/>
              </w:rPr>
              <w:t>11</w:t>
            </w:r>
            <w:r w:rsidRPr="00AF509E">
              <w:rPr>
                <w:rFonts w:ascii="Arial" w:eastAsia="Arial" w:hAnsi="Arial" w:cs="Arial"/>
                <w:lang w:eastAsia="en-GB"/>
              </w:rPr>
              <w:t>/</w:t>
            </w:r>
            <w:r w:rsidR="0033439E" w:rsidRPr="00AF509E">
              <w:rPr>
                <w:rFonts w:ascii="Arial" w:eastAsia="Arial" w:hAnsi="Arial" w:cs="Arial"/>
                <w:lang w:eastAsia="en-GB"/>
              </w:rPr>
              <w:t>11</w:t>
            </w:r>
            <w:r w:rsidRPr="00AF509E">
              <w:rPr>
                <w:rFonts w:ascii="Arial" w:eastAsia="Arial" w:hAnsi="Arial" w:cs="Arial"/>
                <w:lang w:eastAsia="en-GB"/>
              </w:rPr>
              <w:t>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DF9449" w14:textId="12D1CAC7" w:rsidR="007C128F" w:rsidRPr="0064253A" w:rsidRDefault="0023112C" w:rsidP="007C128F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E</w:t>
            </w:r>
            <w:r w:rsidR="00EF495F" w:rsidRPr="0064253A">
              <w:rPr>
                <w:rFonts w:ascii="Arial" w:eastAsia="Arial" w:hAnsi="Arial" w:cs="Arial"/>
                <w:lang w:eastAsia="en-GB"/>
              </w:rPr>
              <w:t>xceed</w:t>
            </w:r>
            <w:r>
              <w:rPr>
                <w:rFonts w:ascii="Arial" w:eastAsia="Arial" w:hAnsi="Arial" w:cs="Arial"/>
                <w:lang w:eastAsia="en-GB"/>
              </w:rPr>
              <w:t>ing</w:t>
            </w:r>
          </w:p>
        </w:tc>
      </w:tr>
      <w:tr w:rsidR="0069562E" w:rsidRPr="007C128F" w14:paraId="7A7EF9CA" w14:textId="77777777" w:rsidTr="31C90F15">
        <w:trPr>
          <w:trHeight w:val="21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6AF7C" w14:textId="3DE6B3D5" w:rsidR="007C128F" w:rsidRPr="007C128F" w:rsidRDefault="007C128F" w:rsidP="00FD3E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0ACE" w14:textId="1C0FF65E" w:rsidR="007C128F" w:rsidRPr="00FD3EEE" w:rsidRDefault="05DE38F4" w:rsidP="007C128F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31C90F15">
              <w:rPr>
                <w:rFonts w:ascii="Arial" w:hAnsi="Arial" w:cs="Arial"/>
              </w:rPr>
              <w:t xml:space="preserve">Internal fraud and corruption referrals risk </w:t>
            </w:r>
            <w:bookmarkStart w:id="12" w:name="_Int_uSMcJqKj"/>
            <w:proofErr w:type="gramStart"/>
            <w:r w:rsidRPr="31C90F15">
              <w:rPr>
                <w:rFonts w:ascii="Arial" w:hAnsi="Arial" w:cs="Arial"/>
              </w:rPr>
              <w:t>assessed</w:t>
            </w:r>
            <w:bookmarkEnd w:id="12"/>
            <w:proofErr w:type="gramEnd"/>
            <w:r w:rsidRPr="31C90F15">
              <w:rPr>
                <w:rFonts w:ascii="Arial" w:hAnsi="Arial" w:cs="Arial"/>
              </w:rPr>
              <w:t xml:space="preserve"> and resources deployed in 5 working days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643BF" w14:textId="29727420" w:rsidR="007C128F" w:rsidRPr="0064253A" w:rsidRDefault="00940215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64253A">
              <w:rPr>
                <w:rFonts w:ascii="Arial" w:eastAsia="Arial" w:hAnsi="Arial" w:cs="Arial"/>
                <w:lang w:eastAsia="en-GB"/>
              </w:rP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D818" w14:textId="57AA55D3" w:rsidR="007C128F" w:rsidRPr="00AF509E" w:rsidRDefault="00A975F8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AF509E">
              <w:rPr>
                <w:rFonts w:ascii="Arial" w:eastAsia="Arial" w:hAnsi="Arial" w:cs="Arial"/>
                <w:lang w:eastAsia="en-GB"/>
              </w:rPr>
              <w:t>93</w:t>
            </w:r>
            <w:r w:rsidR="00EF25D9" w:rsidRPr="00AF509E">
              <w:rPr>
                <w:rFonts w:ascii="Arial" w:eastAsia="Arial" w:hAnsi="Arial" w:cs="Arial"/>
                <w:lang w:eastAsia="en-GB"/>
              </w:rPr>
              <w:t>% (1</w:t>
            </w:r>
            <w:r w:rsidRPr="00AF509E">
              <w:rPr>
                <w:rFonts w:ascii="Arial" w:eastAsia="Arial" w:hAnsi="Arial" w:cs="Arial"/>
                <w:lang w:eastAsia="en-GB"/>
              </w:rPr>
              <w:t>4</w:t>
            </w:r>
            <w:r w:rsidR="00EF25D9" w:rsidRPr="00AF509E">
              <w:rPr>
                <w:rFonts w:ascii="Arial" w:eastAsia="Arial" w:hAnsi="Arial" w:cs="Arial"/>
                <w:lang w:eastAsia="en-GB"/>
              </w:rPr>
              <w:t>/1</w:t>
            </w:r>
            <w:r w:rsidRPr="00AF509E">
              <w:rPr>
                <w:rFonts w:ascii="Arial" w:eastAsia="Arial" w:hAnsi="Arial" w:cs="Arial"/>
                <w:lang w:eastAsia="en-GB"/>
              </w:rPr>
              <w:t>5</w:t>
            </w:r>
            <w:r w:rsidR="00EF25D9" w:rsidRPr="00AF509E">
              <w:rPr>
                <w:rFonts w:ascii="Arial" w:eastAsia="Arial" w:hAnsi="Arial" w:cs="Arial"/>
                <w:lang w:eastAsia="en-GB"/>
              </w:rPr>
              <w:t>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E8207" w14:textId="560D200B" w:rsidR="007C128F" w:rsidRPr="0064253A" w:rsidRDefault="0023112C" w:rsidP="007C128F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E</w:t>
            </w:r>
            <w:r w:rsidR="0064253A" w:rsidRPr="0064253A">
              <w:rPr>
                <w:rFonts w:ascii="Arial" w:eastAsia="Arial" w:hAnsi="Arial" w:cs="Arial"/>
                <w:lang w:eastAsia="en-GB"/>
              </w:rPr>
              <w:t>xceed</w:t>
            </w:r>
            <w:r>
              <w:rPr>
                <w:rFonts w:ascii="Arial" w:eastAsia="Arial" w:hAnsi="Arial" w:cs="Arial"/>
                <w:lang w:eastAsia="en-GB"/>
              </w:rPr>
              <w:t>ing</w:t>
            </w:r>
          </w:p>
        </w:tc>
      </w:tr>
      <w:tr w:rsidR="0069562E" w:rsidRPr="007C128F" w14:paraId="1BFB8B3D" w14:textId="77777777" w:rsidTr="31C90F15">
        <w:trPr>
          <w:trHeight w:val="2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1C3E0" w14:textId="568DD31C" w:rsidR="007C128F" w:rsidRPr="007C128F" w:rsidRDefault="007C128F" w:rsidP="00FD3E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8F509" w14:textId="2870E7DF" w:rsidR="007C128F" w:rsidRPr="000A7E80" w:rsidRDefault="1A5506E6" w:rsidP="00FD3EEE">
            <w:pPr>
              <w:spacing w:after="0" w:line="240" w:lineRule="auto"/>
              <w:rPr>
                <w:rFonts w:ascii="Arial" w:hAnsi="Arial" w:cs="Arial"/>
              </w:rPr>
            </w:pPr>
            <w:r w:rsidRPr="31C90F15">
              <w:rPr>
                <w:rFonts w:ascii="Arial" w:hAnsi="Arial" w:cs="Arial"/>
              </w:rPr>
              <w:t xml:space="preserve">Fraud and corruption referrals risk </w:t>
            </w:r>
            <w:bookmarkStart w:id="13" w:name="_Int_oMUjC8k7"/>
            <w:proofErr w:type="gramStart"/>
            <w:r w:rsidRPr="31C90F15">
              <w:rPr>
                <w:rFonts w:ascii="Arial" w:hAnsi="Arial" w:cs="Arial"/>
              </w:rPr>
              <w:t>assessed</w:t>
            </w:r>
            <w:bookmarkEnd w:id="13"/>
            <w:proofErr w:type="gramEnd"/>
            <w:r w:rsidRPr="31C90F15">
              <w:rPr>
                <w:rFonts w:ascii="Arial" w:hAnsi="Arial" w:cs="Arial"/>
              </w:rPr>
              <w:t xml:space="preserve"> and resources deployed in 10 working days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336F" w14:textId="29215785" w:rsidR="007C128F" w:rsidRPr="0064253A" w:rsidRDefault="00940215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64253A">
              <w:rPr>
                <w:rFonts w:ascii="Arial" w:eastAsia="Arial" w:hAnsi="Arial" w:cs="Arial"/>
                <w:lang w:eastAsia="en-GB"/>
              </w:rP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4B0902" w14:textId="59C36B4B" w:rsidR="007C128F" w:rsidRPr="00AF509E" w:rsidRDefault="002639C0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AF509E">
              <w:rPr>
                <w:rFonts w:ascii="Arial" w:eastAsia="Arial" w:hAnsi="Arial" w:cs="Arial"/>
                <w:lang w:eastAsia="en-GB"/>
              </w:rPr>
              <w:t xml:space="preserve">100% </w:t>
            </w:r>
            <w:r w:rsidR="0064253A" w:rsidRPr="00AF509E">
              <w:rPr>
                <w:rFonts w:ascii="Arial" w:eastAsia="Arial" w:hAnsi="Arial" w:cs="Arial"/>
                <w:lang w:eastAsia="en-GB"/>
              </w:rPr>
              <w:t>(</w:t>
            </w:r>
            <w:r w:rsidR="003978BF" w:rsidRPr="00AF509E">
              <w:rPr>
                <w:rFonts w:ascii="Arial" w:eastAsia="Arial" w:hAnsi="Arial" w:cs="Arial"/>
                <w:lang w:eastAsia="en-GB"/>
              </w:rPr>
              <w:t>82</w:t>
            </w:r>
            <w:r w:rsidR="0064253A" w:rsidRPr="00AF509E">
              <w:rPr>
                <w:rFonts w:ascii="Arial" w:eastAsia="Arial" w:hAnsi="Arial" w:cs="Arial"/>
                <w:lang w:eastAsia="en-GB"/>
              </w:rPr>
              <w:t>/</w:t>
            </w:r>
            <w:r w:rsidR="003978BF" w:rsidRPr="00AF509E">
              <w:rPr>
                <w:rFonts w:ascii="Arial" w:eastAsia="Arial" w:hAnsi="Arial" w:cs="Arial"/>
                <w:lang w:eastAsia="en-GB"/>
              </w:rPr>
              <w:t>82</w:t>
            </w:r>
            <w:r w:rsidR="0064253A" w:rsidRPr="00AF509E">
              <w:rPr>
                <w:rFonts w:ascii="Arial" w:eastAsia="Arial" w:hAnsi="Arial" w:cs="Arial"/>
                <w:lang w:eastAsia="en-GB"/>
              </w:rPr>
              <w:t>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DA4E52" w14:textId="05A3C37A" w:rsidR="007C128F" w:rsidRPr="0064253A" w:rsidRDefault="0023112C" w:rsidP="007C128F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E</w:t>
            </w:r>
            <w:r w:rsidR="0064253A" w:rsidRPr="0064253A">
              <w:rPr>
                <w:rFonts w:ascii="Arial" w:eastAsia="Arial" w:hAnsi="Arial" w:cs="Arial"/>
                <w:lang w:eastAsia="en-GB"/>
              </w:rPr>
              <w:t>xceed</w:t>
            </w:r>
            <w:r>
              <w:rPr>
                <w:rFonts w:ascii="Arial" w:eastAsia="Arial" w:hAnsi="Arial" w:cs="Arial"/>
                <w:lang w:eastAsia="en-GB"/>
              </w:rPr>
              <w:t>ing</w:t>
            </w:r>
          </w:p>
        </w:tc>
      </w:tr>
      <w:tr w:rsidR="0069562E" w:rsidRPr="007C128F" w14:paraId="55F6B550" w14:textId="77777777" w:rsidTr="00E6196B">
        <w:trPr>
          <w:trHeight w:val="2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68C5" w14:textId="19E8C61F" w:rsidR="007C128F" w:rsidRPr="007C128F" w:rsidRDefault="007C128F" w:rsidP="00FD3EE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C1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D0365" w14:textId="40A2A716" w:rsidR="007C128F" w:rsidRPr="00FD3EEE" w:rsidRDefault="00940215" w:rsidP="007C128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9659F5">
              <w:rPr>
                <w:rFonts w:ascii="Arial" w:hAnsi="Arial" w:cs="Arial"/>
                <w:color w:val="000000"/>
              </w:rPr>
              <w:t>Fraud risk recommendations agreed for implementation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815DA" w14:textId="636AC894" w:rsidR="007C128F" w:rsidRPr="00F80D46" w:rsidRDefault="009760F3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GB"/>
              </w:rPr>
            </w:pPr>
            <w:r w:rsidRPr="00F80D46">
              <w:rPr>
                <w:rFonts w:ascii="Arial" w:eastAsia="Arial" w:hAnsi="Arial" w:cs="Arial"/>
                <w:lang w:eastAsia="en-GB"/>
              </w:rP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61D44" w14:textId="0D9638FC" w:rsidR="007C128F" w:rsidRPr="001A77E0" w:rsidRDefault="00441E35" w:rsidP="00A14C0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highlight w:val="yellow"/>
                <w:lang w:eastAsia="en-GB"/>
              </w:rPr>
            </w:pPr>
            <w:r w:rsidRPr="001118FD">
              <w:rPr>
                <w:rFonts w:ascii="Arial" w:eastAsia="Arial" w:hAnsi="Arial" w:cs="Arial"/>
                <w:lang w:eastAsia="en-GB"/>
              </w:rPr>
              <w:t>94% (17/8)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00402" w14:textId="611CF2F8" w:rsidR="007C128F" w:rsidRPr="00F80D46" w:rsidRDefault="003532D6" w:rsidP="007C128F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E</w:t>
            </w:r>
            <w:r w:rsidR="00F94CEF">
              <w:rPr>
                <w:rFonts w:ascii="Arial" w:eastAsia="Arial" w:hAnsi="Arial" w:cs="Arial"/>
                <w:lang w:eastAsia="en-GB"/>
              </w:rPr>
              <w:t>xceeding</w:t>
            </w:r>
          </w:p>
        </w:tc>
      </w:tr>
    </w:tbl>
    <w:p w14:paraId="6F3FAB75" w14:textId="3B1CB157" w:rsidR="000A7E80" w:rsidRDefault="00FB02DE" w:rsidP="00FB02DE">
      <w:pPr>
        <w:spacing w:after="0" w:line="240" w:lineRule="auto"/>
        <w:jc w:val="right"/>
        <w:rPr>
          <w:rFonts w:ascii="Arial" w:hAnsi="Arial" w:cs="Arial"/>
        </w:rPr>
      </w:pPr>
      <w:r w:rsidRPr="005369EA">
        <w:rPr>
          <w:rFonts w:ascii="Arial" w:hAnsi="Arial" w:cs="Arial"/>
          <w:sz w:val="16"/>
          <w:szCs w:val="16"/>
        </w:rPr>
        <w:t xml:space="preserve">Table </w:t>
      </w:r>
      <w:r w:rsidR="00172670">
        <w:rPr>
          <w:rFonts w:ascii="Arial" w:hAnsi="Arial" w:cs="Arial"/>
          <w:sz w:val="16"/>
          <w:szCs w:val="16"/>
        </w:rPr>
        <w:t>9</w:t>
      </w:r>
      <w:r w:rsidRPr="005369EA">
        <w:rPr>
          <w:rFonts w:ascii="Arial" w:hAnsi="Arial" w:cs="Arial"/>
          <w:sz w:val="16"/>
          <w:szCs w:val="16"/>
        </w:rPr>
        <w:t xml:space="preserve"> </w:t>
      </w:r>
    </w:p>
    <w:p w14:paraId="53040A38" w14:textId="77777777" w:rsidR="00C77C15" w:rsidRDefault="00C77C15" w:rsidP="000A7E80">
      <w:pPr>
        <w:spacing w:after="0" w:line="240" w:lineRule="auto"/>
        <w:rPr>
          <w:rFonts w:ascii="Arial" w:hAnsi="Arial" w:cs="Arial"/>
        </w:rPr>
      </w:pPr>
    </w:p>
    <w:p w14:paraId="666D69B7" w14:textId="1463AEDA" w:rsidR="000A7E80" w:rsidRDefault="00F055CE" w:rsidP="000A7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the five </w:t>
      </w:r>
      <w:r w:rsidR="00D6571E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performance indicators</w:t>
      </w:r>
      <w:r w:rsidR="00D657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51C34">
        <w:rPr>
          <w:rFonts w:ascii="Arial" w:hAnsi="Arial" w:cs="Arial"/>
        </w:rPr>
        <w:t xml:space="preserve">four </w:t>
      </w:r>
      <w:r w:rsidR="00C77C15">
        <w:rPr>
          <w:rFonts w:ascii="Arial" w:hAnsi="Arial" w:cs="Arial"/>
        </w:rPr>
        <w:t>we</w:t>
      </w:r>
      <w:r w:rsidR="00A81412">
        <w:rPr>
          <w:rFonts w:ascii="Arial" w:hAnsi="Arial" w:cs="Arial"/>
        </w:rPr>
        <w:t>re exceed</w:t>
      </w:r>
      <w:r w:rsidR="00283155">
        <w:rPr>
          <w:rFonts w:ascii="Arial" w:hAnsi="Arial" w:cs="Arial"/>
        </w:rPr>
        <w:t>ing</w:t>
      </w:r>
      <w:r w:rsidR="00C77C15">
        <w:rPr>
          <w:rFonts w:ascii="Arial" w:hAnsi="Arial" w:cs="Arial"/>
        </w:rPr>
        <w:t xml:space="preserve"> and one is </w:t>
      </w:r>
      <w:r w:rsidR="00283155">
        <w:rPr>
          <w:rFonts w:ascii="Arial" w:hAnsi="Arial" w:cs="Arial"/>
        </w:rPr>
        <w:t xml:space="preserve">in progress </w:t>
      </w:r>
      <w:r w:rsidR="004B4BD9">
        <w:rPr>
          <w:rFonts w:ascii="Arial" w:hAnsi="Arial" w:cs="Arial"/>
        </w:rPr>
        <w:t>at</w:t>
      </w:r>
      <w:r w:rsidR="00C77C15">
        <w:rPr>
          <w:rFonts w:ascii="Arial" w:hAnsi="Arial" w:cs="Arial"/>
        </w:rPr>
        <w:t xml:space="preserve"> the </w:t>
      </w:r>
      <w:r w:rsidR="004B4BD9">
        <w:rPr>
          <w:rFonts w:ascii="Arial" w:hAnsi="Arial" w:cs="Arial"/>
        </w:rPr>
        <w:t>time</w:t>
      </w:r>
      <w:r w:rsidR="00C77C15">
        <w:rPr>
          <w:rFonts w:ascii="Arial" w:hAnsi="Arial" w:cs="Arial"/>
        </w:rPr>
        <w:t xml:space="preserve"> of </w:t>
      </w:r>
      <w:r w:rsidR="004B4BD9">
        <w:rPr>
          <w:rFonts w:ascii="Arial" w:hAnsi="Arial" w:cs="Arial"/>
        </w:rPr>
        <w:t xml:space="preserve">writing </w:t>
      </w:r>
      <w:r w:rsidR="00C77C15">
        <w:rPr>
          <w:rFonts w:ascii="Arial" w:hAnsi="Arial" w:cs="Arial"/>
        </w:rPr>
        <w:t xml:space="preserve">the </w:t>
      </w:r>
      <w:r w:rsidR="004B4BD9">
        <w:rPr>
          <w:rFonts w:ascii="Arial" w:hAnsi="Arial" w:cs="Arial"/>
        </w:rPr>
        <w:t>report</w:t>
      </w:r>
      <w:r w:rsidR="00C77C15">
        <w:rPr>
          <w:rFonts w:ascii="Arial" w:hAnsi="Arial" w:cs="Arial"/>
        </w:rPr>
        <w:t>.</w:t>
      </w:r>
    </w:p>
    <w:p w14:paraId="5A4E3A04" w14:textId="1F5D5D79" w:rsidR="002301BF" w:rsidRPr="00BB641B" w:rsidRDefault="6E0EADD1" w:rsidP="31C90F15">
      <w:pPr>
        <w:shd w:val="clear" w:color="auto" w:fill="002060"/>
        <w:spacing w:after="0" w:line="240" w:lineRule="auto"/>
        <w:ind w:left="142"/>
        <w:rPr>
          <w:rFonts w:ascii="Arial" w:eastAsiaTheme="minorEastAsia" w:hAnsi="Arial" w:cs="Arial"/>
          <w:b/>
          <w:bCs/>
          <w:color w:val="FFFFFF" w:themeColor="background1"/>
          <w:sz w:val="24"/>
          <w:szCs w:val="24"/>
          <w:lang w:eastAsia="en-GB"/>
        </w:rPr>
      </w:pPr>
      <w:r w:rsidRPr="31C90F15">
        <w:rPr>
          <w:rFonts w:ascii="Arial" w:eastAsiaTheme="minorEastAsia" w:hAnsi="Arial" w:cs="Arial"/>
          <w:b/>
          <w:bCs/>
          <w:color w:val="FFFFFF" w:themeColor="background1"/>
          <w:sz w:val="32"/>
          <w:szCs w:val="32"/>
          <w:shd w:val="clear" w:color="auto" w:fill="17365D" w:themeFill="text2" w:themeFillShade="BF"/>
          <w:lang w:eastAsia="en-GB"/>
        </w:rPr>
        <w:lastRenderedPageBreak/>
        <w:t xml:space="preserve"> </w:t>
      </w:r>
      <w:r w:rsidR="00F43681" w:rsidRPr="31C90F15">
        <w:rPr>
          <w:rFonts w:ascii="Arial" w:eastAsiaTheme="minorEastAsia" w:hAnsi="Arial" w:cs="Arial"/>
          <w:b/>
          <w:bCs/>
          <w:color w:val="FFFFFF" w:themeColor="background1"/>
          <w:sz w:val="32"/>
          <w:szCs w:val="32"/>
          <w:shd w:val="clear" w:color="auto" w:fill="17365D" w:themeFill="text2" w:themeFillShade="BF"/>
          <w:lang w:eastAsia="en-GB"/>
        </w:rPr>
        <w:t>Appendix A:</w:t>
      </w:r>
      <w:r w:rsidR="00285B1D" w:rsidRPr="31C90F15">
        <w:rPr>
          <w:rFonts w:ascii="Arial" w:eastAsiaTheme="minorEastAsia" w:hAnsi="Arial" w:cs="Arial"/>
          <w:b/>
          <w:bCs/>
          <w:color w:val="FFFFFF" w:themeColor="background1"/>
          <w:sz w:val="40"/>
          <w:szCs w:val="40"/>
          <w:shd w:val="clear" w:color="auto" w:fill="17365D" w:themeFill="text2" w:themeFillShade="BF"/>
          <w:lang w:eastAsia="en-GB"/>
        </w:rPr>
        <w:t xml:space="preserve">  </w:t>
      </w:r>
      <w:r w:rsidR="002301BF" w:rsidRPr="31C90F15">
        <w:rPr>
          <w:rFonts w:ascii="Arial" w:eastAsiaTheme="minorEastAsia" w:hAnsi="Arial" w:cs="Arial"/>
          <w:b/>
          <w:bCs/>
          <w:color w:val="FFFFFF" w:themeColor="background1"/>
          <w:sz w:val="32"/>
          <w:szCs w:val="32"/>
          <w:shd w:val="clear" w:color="auto" w:fill="17365D" w:themeFill="text2" w:themeFillShade="BF"/>
          <w:lang w:eastAsia="en-GB"/>
        </w:rPr>
        <w:t>Audit Report Assuranc</w:t>
      </w:r>
      <w:r w:rsidR="262BB484" w:rsidRPr="31C90F15">
        <w:rPr>
          <w:rFonts w:ascii="Arial" w:eastAsiaTheme="minorEastAsia" w:hAnsi="Arial" w:cs="Arial"/>
          <w:b/>
          <w:bCs/>
          <w:color w:val="FFFFFF" w:themeColor="background1"/>
          <w:sz w:val="32"/>
          <w:szCs w:val="32"/>
          <w:shd w:val="clear" w:color="auto" w:fill="17365D" w:themeFill="text2" w:themeFillShade="BF"/>
          <w:lang w:eastAsia="en-GB"/>
        </w:rPr>
        <w:t xml:space="preserve">e Levels </w:t>
      </w:r>
      <w:r w:rsidR="002301BF" w:rsidRPr="31C90F15">
        <w:rPr>
          <w:rFonts w:ascii="Arial" w:eastAsiaTheme="minorEastAsia" w:hAnsi="Arial" w:cs="Arial"/>
          <w:b/>
          <w:bCs/>
          <w:color w:val="FFFFFF" w:themeColor="background1"/>
          <w:sz w:val="40"/>
          <w:szCs w:val="40"/>
          <w:shd w:val="clear" w:color="auto" w:fill="17365D" w:themeFill="text2" w:themeFillShade="BF"/>
          <w:lang w:eastAsia="en-GB"/>
        </w:rPr>
        <w:t xml:space="preserve"> </w:t>
      </w:r>
    </w:p>
    <w:p w14:paraId="65DDB836" w14:textId="446F257C" w:rsidR="31C90F15" w:rsidRDefault="31C90F15" w:rsidP="31C90F15">
      <w:pPr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E0FC98" w14:textId="77777777" w:rsidR="002301BF" w:rsidRPr="002301BF" w:rsidRDefault="002301BF" w:rsidP="002301BF">
      <w:pPr>
        <w:spacing w:after="0" w:line="240" w:lineRule="auto"/>
        <w:ind w:left="240"/>
        <w:jc w:val="both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2301BF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Internal audit reports </w:t>
      </w:r>
      <w:r w:rsidRPr="002301BF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en-GB"/>
        </w:rPr>
        <w:t xml:space="preserve">are given Red, Red/Amber, Amber, Amber/Green or Green </w:t>
      </w:r>
      <w:r w:rsidRPr="002301BF">
        <w:rPr>
          <w:rFonts w:ascii="Arial" w:eastAsia="Times New Roman" w:hAnsi="Arial" w:cs="Arial"/>
          <w:bCs/>
          <w:sz w:val="24"/>
          <w:szCs w:val="20"/>
          <w:lang w:eastAsia="en-GB"/>
        </w:rPr>
        <w:t>assurance ratings as follows: -</w:t>
      </w:r>
    </w:p>
    <w:p w14:paraId="2E4706FF" w14:textId="77777777" w:rsidR="002301BF" w:rsidRPr="00F31B97" w:rsidRDefault="002301BF" w:rsidP="002301BF">
      <w:pPr>
        <w:spacing w:after="0" w:line="240" w:lineRule="auto"/>
        <w:ind w:left="240"/>
        <w:jc w:val="both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tbl>
      <w:tblPr>
        <w:tblW w:w="10136" w:type="dxa"/>
        <w:tblInd w:w="132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073"/>
        <w:gridCol w:w="7690"/>
        <w:gridCol w:w="25"/>
        <w:gridCol w:w="22"/>
        <w:gridCol w:w="30"/>
      </w:tblGrid>
      <w:tr w:rsidR="002301BF" w:rsidRPr="002301BF" w14:paraId="24B2ADF7" w14:textId="77777777" w:rsidTr="008F5049">
        <w:trPr>
          <w:gridAfter w:val="3"/>
          <w:wAfter w:w="72" w:type="dxa"/>
          <w:trHeight w:val="377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BD1" w14:textId="77777777" w:rsidR="002301BF" w:rsidRPr="002301BF" w:rsidRDefault="002301BF" w:rsidP="0023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Assurance Rating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032" w14:textId="77777777" w:rsidR="002301BF" w:rsidRPr="002301BF" w:rsidRDefault="002301BF" w:rsidP="003772E9">
            <w:pPr>
              <w:spacing w:after="0" w:line="240" w:lineRule="auto"/>
              <w:ind w:right="-32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2301BF" w:rsidRPr="003B3166" w14:paraId="284CA087" w14:textId="77777777" w:rsidTr="000C17D4">
        <w:trPr>
          <w:gridAfter w:val="3"/>
          <w:wAfter w:w="72" w:type="dxa"/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5C8A15D" w14:textId="77777777" w:rsidR="002301BF" w:rsidRPr="002301BF" w:rsidRDefault="002301BF" w:rsidP="00230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5550" w14:textId="05A7A5FC" w:rsidR="002301BF" w:rsidRPr="003B3166" w:rsidRDefault="002301BF" w:rsidP="003B3166">
            <w:pPr>
              <w:spacing w:after="0" w:line="240" w:lineRule="auto"/>
              <w:ind w:left="90" w:right="9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>Red reports indicate systems/functions/establishments with a low overall percentage of controls in place that represent a high risk to the authority needing immediate attention to improve the control environment</w:t>
            </w:r>
          </w:p>
        </w:tc>
      </w:tr>
      <w:tr w:rsidR="003B3166" w:rsidRPr="002301BF" w14:paraId="694DE829" w14:textId="77777777" w:rsidTr="000C17D4">
        <w:trPr>
          <w:trHeight w:val="633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12F1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6E5B" w14:textId="77777777" w:rsidR="002301BF" w:rsidRPr="003B3166" w:rsidRDefault="002301BF" w:rsidP="003772E9">
            <w:pPr>
              <w:spacing w:after="0" w:line="240" w:lineRule="auto"/>
              <w:ind w:right="-329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BD9" w14:textId="77777777" w:rsidR="002301BF" w:rsidRPr="003B3166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B3166" w:rsidRPr="002301BF" w14:paraId="5B3EBF4A" w14:textId="77777777" w:rsidTr="000C17D4">
        <w:trPr>
          <w:gridAfter w:val="1"/>
          <w:wAfter w:w="30" w:type="dxa"/>
          <w:trHeight w:val="368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CD04F20" w14:textId="77777777" w:rsidR="002301BF" w:rsidRPr="002301BF" w:rsidRDefault="002301BF" w:rsidP="0023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Red/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E785D7D" w14:textId="77777777" w:rsidR="002301BF" w:rsidRPr="002301BF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Amber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3663" w14:textId="637AE65A" w:rsidR="002301BF" w:rsidRPr="003B3166" w:rsidRDefault="002301BF" w:rsidP="003B3166">
            <w:pPr>
              <w:spacing w:after="0" w:line="240" w:lineRule="auto"/>
              <w:ind w:left="90" w:right="6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>Red/Amber reports indicate systems/functions/establishments that represent a high to medium risk to the authority needing immediate attention to improve the control environment</w:t>
            </w:r>
          </w:p>
        </w:tc>
        <w:tc>
          <w:tcPr>
            <w:tcW w:w="42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E53B9" w14:textId="77777777" w:rsidR="002301BF" w:rsidRPr="003B3166" w:rsidRDefault="002301BF" w:rsidP="002301B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3B3166" w:rsidRPr="002301BF" w14:paraId="33330D62" w14:textId="77777777" w:rsidTr="000C17D4">
        <w:trPr>
          <w:trHeight w:val="62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3D66FB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70A4" w14:textId="77777777" w:rsidR="002301BF" w:rsidRPr="002301BF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C07" w14:textId="77777777" w:rsidR="002301BF" w:rsidRPr="003B3166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A7A" w14:textId="77777777" w:rsidR="002301BF" w:rsidRPr="003B3166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B3166" w:rsidRPr="002301BF" w14:paraId="13419300" w14:textId="77777777" w:rsidTr="000C17D4">
        <w:trPr>
          <w:gridAfter w:val="2"/>
          <w:wAfter w:w="52" w:type="dxa"/>
          <w:trHeight w:val="368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89531E2" w14:textId="77777777" w:rsidR="002301BF" w:rsidRPr="002301BF" w:rsidRDefault="002301BF" w:rsidP="003B3166">
            <w:pPr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Amber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774E" w14:textId="53F8710D" w:rsidR="002301BF" w:rsidRPr="003B3166" w:rsidRDefault="002301BF" w:rsidP="003B3166">
            <w:pPr>
              <w:spacing w:after="0" w:line="240" w:lineRule="auto"/>
              <w:ind w:left="90" w:right="6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>Amber reports indicate a fair level of controls operating that represent a medium risk in need of attention to prevent them becoming high risk</w:t>
            </w:r>
          </w:p>
        </w:tc>
        <w:tc>
          <w:tcPr>
            <w:tcW w:w="2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8BAC3" w14:textId="77777777" w:rsidR="002301BF" w:rsidRPr="002301BF" w:rsidRDefault="002301BF" w:rsidP="003B3166">
            <w:pPr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B3166" w:rsidRPr="002301BF" w14:paraId="62A737AB" w14:textId="77777777" w:rsidTr="000C17D4">
        <w:trPr>
          <w:trHeight w:val="360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1767" w14:textId="77777777" w:rsidR="002301BF" w:rsidRPr="002301BF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B14C" w14:textId="77777777" w:rsidR="002301BF" w:rsidRPr="003B3166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7325" w14:textId="77777777" w:rsidR="002301BF" w:rsidRPr="003B3166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B3166" w:rsidRPr="002301BF" w14:paraId="544C8D70" w14:textId="77777777" w:rsidTr="000C17D4">
        <w:trPr>
          <w:gridAfter w:val="1"/>
          <w:wAfter w:w="30" w:type="dxa"/>
          <w:trHeight w:val="368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0F842C" w14:textId="77777777" w:rsidR="002301BF" w:rsidRPr="002301BF" w:rsidRDefault="002301BF" w:rsidP="00230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Amber/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24E58CA" w14:textId="77777777" w:rsidR="002301BF" w:rsidRPr="002301BF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F7D4" w14:textId="6EBB7E8E" w:rsidR="002301BF" w:rsidRPr="003B3166" w:rsidRDefault="002301BF" w:rsidP="003B3166">
            <w:pPr>
              <w:spacing w:after="0" w:line="240" w:lineRule="auto"/>
              <w:ind w:left="90" w:right="6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>Amber/Green reports indicate medium to low risk in need of attention to prevent them becoming high risk.</w:t>
            </w:r>
          </w:p>
        </w:tc>
        <w:tc>
          <w:tcPr>
            <w:tcW w:w="42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04D91" w14:textId="77777777" w:rsidR="002301BF" w:rsidRPr="003B3166" w:rsidRDefault="002301BF" w:rsidP="002301BF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3B3166" w:rsidRPr="002301BF" w14:paraId="0B79A54E" w14:textId="77777777" w:rsidTr="000C17D4">
        <w:trPr>
          <w:trHeight w:val="459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DAF2C2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B3A0" w14:textId="77777777" w:rsidR="002301BF" w:rsidRPr="002301BF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EFA" w14:textId="77777777" w:rsidR="002301BF" w:rsidRPr="003B3166" w:rsidRDefault="002301BF" w:rsidP="003B3166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C19" w14:textId="77777777" w:rsidR="002301BF" w:rsidRPr="003B3166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B3166" w:rsidRPr="002301BF" w14:paraId="435601CE" w14:textId="77777777" w:rsidTr="000C17D4">
        <w:trPr>
          <w:gridAfter w:val="2"/>
          <w:wAfter w:w="52" w:type="dxa"/>
          <w:trHeight w:val="368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4C759FB" w14:textId="77777777" w:rsidR="002301BF" w:rsidRPr="002301BF" w:rsidRDefault="002301BF" w:rsidP="003B3166">
            <w:pPr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7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D84F" w14:textId="06D0317E" w:rsidR="002301BF" w:rsidRPr="003B3166" w:rsidRDefault="002301BF" w:rsidP="003B3166">
            <w:pPr>
              <w:spacing w:after="0" w:line="240" w:lineRule="auto"/>
              <w:ind w:left="90" w:right="6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>Green reports indicate a high level of controls operating</w:t>
            </w:r>
            <w:r w:rsidR="59E82020"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effectively</w:t>
            </w:r>
            <w:r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>, including all critical controls, that represent low risk areas</w:t>
            </w:r>
            <w:r w:rsidR="00647115" w:rsidRPr="003B3166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E3EA5" w14:textId="77777777" w:rsidR="002301BF" w:rsidRPr="002301BF" w:rsidRDefault="002301BF" w:rsidP="003B3166">
            <w:pPr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C17D4" w:rsidRPr="002301BF" w14:paraId="51F19CE6" w14:textId="77777777" w:rsidTr="000C17D4">
        <w:trPr>
          <w:gridAfter w:val="2"/>
          <w:wAfter w:w="52" w:type="dxa"/>
          <w:trHeight w:val="377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008B6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15E5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73BB9E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F28BB39" w14:textId="4918F756" w:rsidR="002301BF" w:rsidRPr="002301BF" w:rsidRDefault="002301BF" w:rsidP="7852B320">
      <w:pPr>
        <w:spacing w:after="0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53F79B" w14:textId="42C4A9B4" w:rsidR="002301BF" w:rsidRPr="002301BF" w:rsidRDefault="002301BF" w:rsidP="240375ED">
      <w:pPr>
        <w:spacing w:after="0" w:line="240" w:lineRule="auto"/>
        <w:ind w:left="24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240375E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formula for converting audit findings into a Red, Red/Amber, Amber, Amber/Green or</w:t>
      </w:r>
    </w:p>
    <w:p w14:paraId="78A3454E" w14:textId="74E50FFE" w:rsidR="002301BF" w:rsidRPr="002301BF" w:rsidRDefault="002301BF" w:rsidP="002301BF">
      <w:pPr>
        <w:spacing w:after="0" w:line="240" w:lineRule="auto"/>
        <w:ind w:left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240375E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Green rating has been developed as follows: -</w:t>
      </w:r>
    </w:p>
    <w:p w14:paraId="5BF0EA91" w14:textId="63DE65C3" w:rsidR="002301BF" w:rsidRPr="000C17D4" w:rsidRDefault="002301BF" w:rsidP="7852B320">
      <w:pPr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494" w:type="dxa"/>
        <w:tblInd w:w="132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076"/>
        <w:gridCol w:w="7938"/>
        <w:gridCol w:w="288"/>
      </w:tblGrid>
      <w:tr w:rsidR="002301BF" w:rsidRPr="002301BF" w14:paraId="172D7565" w14:textId="77777777" w:rsidTr="31C90F15">
        <w:trPr>
          <w:gridAfter w:val="1"/>
          <w:wAfter w:w="288" w:type="dxa"/>
          <w:trHeight w:val="3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6CF" w14:textId="77777777" w:rsidR="002301BF" w:rsidRPr="002301BF" w:rsidRDefault="002301BF" w:rsidP="0023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Assurance Rating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FE3" w14:textId="77777777" w:rsidR="002301BF" w:rsidRPr="002301BF" w:rsidRDefault="002301BF" w:rsidP="0023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01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2301BF" w:rsidRPr="002301BF" w14:paraId="05F9E1E3" w14:textId="77777777" w:rsidTr="31C90F15">
        <w:trPr>
          <w:gridAfter w:val="1"/>
          <w:wAfter w:w="288" w:type="dxa"/>
          <w:trHeight w:val="3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5FD5392" w14:textId="77777777" w:rsidR="002301BF" w:rsidRPr="002301BF" w:rsidRDefault="002301BF" w:rsidP="31C9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Red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A15D" w14:textId="47545FBC" w:rsidR="31C90F15" w:rsidRDefault="31C90F15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27BE481" w14:textId="21D593B3" w:rsidR="002301BF" w:rsidRPr="002301BF" w:rsidRDefault="002301BF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Red reports will be those where there is one or more of the following:</w:t>
            </w:r>
            <w:r>
              <w:br/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proofErr w:type="gramStart"/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•  A</w:t>
            </w:r>
            <w:proofErr w:type="gramEnd"/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low overall percentage of controls in place (0-50%)</w:t>
            </w:r>
            <w:r>
              <w:br/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•  An absence of critical controls</w:t>
            </w:r>
            <w:r w:rsidR="02B88157"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, </w:t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reflected as high risk</w:t>
            </w:r>
            <w:r w:rsidR="67C17C16"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</w:t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ecommendations</w:t>
            </w:r>
            <w:r>
              <w:br/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•  A significant deterioration in control systems</w:t>
            </w:r>
            <w:r>
              <w:br/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•  Poor progress with implementation of previous recommendations</w:t>
            </w:r>
          </w:p>
        </w:tc>
      </w:tr>
      <w:tr w:rsidR="002301BF" w:rsidRPr="002301BF" w14:paraId="51D6742E" w14:textId="77777777" w:rsidTr="31C90F15">
        <w:trPr>
          <w:trHeight w:val="300"/>
        </w:trPr>
        <w:tc>
          <w:tcPr>
            <w:tcW w:w="2268" w:type="dxa"/>
            <w:gridSpan w:val="2"/>
            <w:vMerge/>
            <w:vAlign w:val="center"/>
            <w:hideMark/>
          </w:tcPr>
          <w:p w14:paraId="5E5B7DB5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14:paraId="76F26417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04E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01BF" w:rsidRPr="002301BF" w14:paraId="7A454B26" w14:textId="77777777" w:rsidTr="31C90F15">
        <w:trPr>
          <w:trHeight w:val="962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B33EC5E" w14:textId="77777777" w:rsidR="002301BF" w:rsidRPr="002301BF" w:rsidRDefault="002301BF" w:rsidP="31C90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Red/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1FF9BF5" w14:textId="77777777" w:rsidR="002301BF" w:rsidRPr="002301BF" w:rsidRDefault="002301BF" w:rsidP="31C9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Amber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B3A7" w14:textId="5443B0B4" w:rsidR="31C90F15" w:rsidRDefault="31C90F15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60EB642" w14:textId="3091660C" w:rsidR="002301BF" w:rsidRPr="002301BF" w:rsidRDefault="002301BF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Red/Amber reports will be those that have 51-60% of controls operating and </w:t>
            </w:r>
            <w:r w:rsidR="5B6BDADF"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no more than 40% of controls absent are critical (40% of recommendations made).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2DAEB" w14:textId="77777777" w:rsidR="002301BF" w:rsidRPr="002301BF" w:rsidRDefault="002301BF" w:rsidP="002301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1BF" w:rsidRPr="002301BF" w14:paraId="214414E6" w14:textId="77777777" w:rsidTr="31C90F15">
        <w:trPr>
          <w:trHeight w:val="46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60F294" w14:textId="77777777" w:rsidR="002301BF" w:rsidRPr="002301BF" w:rsidRDefault="002301BF" w:rsidP="31C9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Amber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FF40" w14:textId="06DB2846" w:rsidR="31C90F15" w:rsidRDefault="31C90F15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54708AE" w14:textId="77777777" w:rsidR="002301BF" w:rsidRPr="002301BF" w:rsidRDefault="002301BF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Amber reports will be those that have 61-70% of controls operating and no more than 25% of controls absent are critical (25% of recommendations made).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4F126" w14:textId="77777777" w:rsidR="002301BF" w:rsidRPr="002301BF" w:rsidRDefault="002301BF" w:rsidP="002301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1BF" w:rsidRPr="002301BF" w14:paraId="428CBFF5" w14:textId="77777777" w:rsidTr="31C90F15">
        <w:trPr>
          <w:trHeight w:val="461"/>
        </w:trPr>
        <w:tc>
          <w:tcPr>
            <w:tcW w:w="2268" w:type="dxa"/>
            <w:gridSpan w:val="2"/>
            <w:vMerge/>
            <w:vAlign w:val="center"/>
            <w:hideMark/>
          </w:tcPr>
          <w:p w14:paraId="4BE28A14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14:paraId="4CD808E4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F4B0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01BF" w:rsidRPr="002301BF" w14:paraId="21EF2537" w14:textId="77777777" w:rsidTr="31C90F15">
        <w:trPr>
          <w:trHeight w:val="30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CACE070" w14:textId="77777777" w:rsidR="002301BF" w:rsidRPr="002301BF" w:rsidRDefault="002301BF" w:rsidP="31C90F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Amber/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F2AF8A2" w14:textId="77777777" w:rsidR="002301BF" w:rsidRPr="002301BF" w:rsidRDefault="002301BF" w:rsidP="31C9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Green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260A" w14:textId="78079A81" w:rsidR="31C90F15" w:rsidRDefault="31C90F15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E9157CA" w14:textId="53FDAA8C" w:rsidR="002301BF" w:rsidRPr="002301BF" w:rsidRDefault="002301BF" w:rsidP="31C90F15">
            <w:pPr>
              <w:spacing w:after="0" w:line="240" w:lineRule="auto"/>
              <w:ind w:left="9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Amber/Green reports </w:t>
            </w:r>
            <w:r w:rsidR="333CBEEA"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are</w:t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those that have 71-80% of controls operating and no more than 10% of controls absent are critical (10% of recommendations made).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19A74" w14:textId="77777777" w:rsidR="002301BF" w:rsidRPr="002301BF" w:rsidRDefault="002301BF" w:rsidP="002301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1BF" w:rsidRPr="002301BF" w14:paraId="526B4652" w14:textId="77777777" w:rsidTr="31C90F15">
        <w:trPr>
          <w:trHeight w:val="705"/>
        </w:trPr>
        <w:tc>
          <w:tcPr>
            <w:tcW w:w="1192" w:type="dxa"/>
            <w:vMerge/>
            <w:vAlign w:val="center"/>
            <w:hideMark/>
          </w:tcPr>
          <w:p w14:paraId="6E7376FC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5EA890BD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14:paraId="03C591C8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771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01BF" w:rsidRPr="002301BF" w14:paraId="38CC3C7C" w14:textId="77777777" w:rsidTr="31C90F15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875A3AF" w14:textId="77777777" w:rsidR="002301BF" w:rsidRPr="002301BF" w:rsidRDefault="002301BF" w:rsidP="31C9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Green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32BF" w14:textId="2D41F270" w:rsidR="002301BF" w:rsidRPr="002301BF" w:rsidRDefault="002301BF" w:rsidP="31C90F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4155FFE" w14:textId="6B8F349C" w:rsidR="002301BF" w:rsidRPr="002301BF" w:rsidRDefault="002301BF" w:rsidP="31C90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Green reports </w:t>
            </w:r>
            <w:r w:rsidR="7AD12298"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are</w:t>
            </w:r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those having 81-100% of controls operating including all critical controls and no absence of critical controls (no </w:t>
            </w:r>
            <w:proofErr w:type="gramStart"/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>high risk</w:t>
            </w:r>
            <w:proofErr w:type="gramEnd"/>
            <w:r w:rsidRPr="31C90F1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recommendations).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07102" w14:textId="77777777" w:rsidR="002301BF" w:rsidRPr="002301BF" w:rsidRDefault="002301BF" w:rsidP="002301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01BF" w:rsidRPr="002301BF" w14:paraId="0F2DDBFE" w14:textId="77777777" w:rsidTr="31C90F15">
        <w:trPr>
          <w:trHeight w:val="675"/>
        </w:trPr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23F6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54FB6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6FCD90" w14:textId="77777777" w:rsidR="002301BF" w:rsidRPr="002301BF" w:rsidRDefault="002301BF" w:rsidP="00230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F5EF48" w14:textId="77777777" w:rsidR="000C17D4" w:rsidRPr="000C17D4" w:rsidRDefault="004C7496" w:rsidP="004C7496">
      <w:pPr>
        <w:pStyle w:val="BodyText"/>
        <w:jc w:val="both"/>
        <w:rPr>
          <w:b w:val="0"/>
          <w:bCs/>
          <w:sz w:val="16"/>
          <w:szCs w:val="16"/>
          <w:lang w:eastAsia="en-GB"/>
        </w:rPr>
      </w:pPr>
      <w:r>
        <w:rPr>
          <w:b w:val="0"/>
          <w:bCs/>
          <w:lang w:eastAsia="en-GB"/>
        </w:rPr>
        <w:t xml:space="preserve">   </w:t>
      </w:r>
    </w:p>
    <w:p w14:paraId="3A23B902" w14:textId="2E2E13E4" w:rsidR="00FB3ECA" w:rsidRDefault="002301BF" w:rsidP="000C17D4">
      <w:pPr>
        <w:pStyle w:val="BodyText"/>
        <w:ind w:left="284"/>
        <w:jc w:val="both"/>
        <w:rPr>
          <w:lang w:eastAsia="en-GB"/>
        </w:rPr>
      </w:pPr>
      <w:r w:rsidRPr="000C17D4">
        <w:rPr>
          <w:lang w:eastAsia="en-GB"/>
        </w:rPr>
        <w:t>Controls operating/substantially operating will be combined to give an overall assurance rating.</w:t>
      </w:r>
    </w:p>
    <w:p w14:paraId="3F3FA3BB" w14:textId="1204A1BA" w:rsidR="00F43681" w:rsidRPr="009D548A" w:rsidRDefault="00FB3ECA" w:rsidP="001A77E0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>
        <w:rPr>
          <w:lang w:eastAsia="en-GB"/>
        </w:rPr>
        <w:br w:type="page"/>
      </w:r>
      <w:bookmarkStart w:id="14" w:name="_Hlk155862815"/>
      <w:r w:rsidR="1C989964" w:rsidRPr="31C90F15">
        <w:rPr>
          <w:rFonts w:ascii="Arial" w:eastAsiaTheme="minorEastAsia" w:hAnsi="Arial" w:cs="Arial"/>
          <w:b/>
          <w:bCs/>
          <w:color w:val="FFFFFF" w:themeColor="background1"/>
          <w:sz w:val="32"/>
          <w:szCs w:val="32"/>
          <w:shd w:val="clear" w:color="auto" w:fill="17365D" w:themeFill="text2" w:themeFillShade="BF"/>
          <w:lang w:eastAsia="en-GB"/>
        </w:rPr>
        <w:lastRenderedPageBreak/>
        <w:t xml:space="preserve"> </w:t>
      </w:r>
      <w:r w:rsidR="00F43681" w:rsidRPr="31C90F15">
        <w:rPr>
          <w:rFonts w:ascii="Arial" w:eastAsiaTheme="minorEastAsia" w:hAnsi="Arial" w:cs="Arial"/>
          <w:b/>
          <w:bCs/>
          <w:color w:val="FFFFFF" w:themeColor="background1"/>
          <w:sz w:val="32"/>
          <w:szCs w:val="32"/>
          <w:shd w:val="clear" w:color="auto" w:fill="17365D" w:themeFill="text2" w:themeFillShade="BF"/>
          <w:lang w:eastAsia="en-GB"/>
        </w:rPr>
        <w:t>Appendix B</w:t>
      </w:r>
      <w:r w:rsidR="00F43681" w:rsidRPr="009D548A">
        <w:rPr>
          <w:rFonts w:ascii="Arial" w:eastAsiaTheme="minorEastAsia" w:hAnsi="Arial" w:cs="Arial"/>
          <w:b/>
          <w:bCs/>
          <w:sz w:val="32"/>
          <w:szCs w:val="32"/>
          <w:shd w:val="clear" w:color="auto" w:fill="17365D" w:themeFill="text2" w:themeFillShade="BF"/>
          <w:lang w:eastAsia="en-GB"/>
        </w:rPr>
        <w:t>:</w:t>
      </w:r>
      <w:r w:rsidR="00F43681" w:rsidRPr="009D548A">
        <w:rPr>
          <w:rFonts w:ascii="Arial" w:eastAsiaTheme="minorEastAsia" w:hAnsi="Arial" w:cs="Arial"/>
          <w:sz w:val="40"/>
          <w:szCs w:val="40"/>
          <w:shd w:val="clear" w:color="auto" w:fill="17365D" w:themeFill="text2" w:themeFillShade="BF"/>
          <w:lang w:eastAsia="en-GB"/>
        </w:rPr>
        <w:t xml:space="preserve"> </w:t>
      </w:r>
      <w:r w:rsidR="00F43681" w:rsidRPr="00873A30">
        <w:rPr>
          <w:rFonts w:ascii="Arial" w:eastAsia="Times New Roman" w:hAnsi="Arial" w:cs="Arial"/>
          <w:b/>
          <w:bCs/>
          <w:sz w:val="32"/>
          <w:szCs w:val="32"/>
          <w:shd w:val="clear" w:color="auto" w:fill="002060"/>
          <w:lang w:eastAsia="en-GB"/>
        </w:rPr>
        <w:t>PSIAS Quality Assurance and Improvement Plan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635"/>
        <w:gridCol w:w="2471"/>
        <w:gridCol w:w="2126"/>
        <w:gridCol w:w="993"/>
        <w:gridCol w:w="1665"/>
        <w:gridCol w:w="1170"/>
      </w:tblGrid>
      <w:tr w:rsidR="00A342F9" w14:paraId="513BBE09" w14:textId="77777777" w:rsidTr="31C90F15">
        <w:tc>
          <w:tcPr>
            <w:tcW w:w="1635" w:type="dxa"/>
          </w:tcPr>
          <w:bookmarkEnd w:id="14"/>
          <w:p w14:paraId="3BB0A1A7" w14:textId="77777777" w:rsidR="00A342F9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PSIAS </w:t>
            </w:r>
          </w:p>
          <w:p w14:paraId="02365831" w14:textId="77777777" w:rsidR="00A342F9" w:rsidRPr="00BD4D78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Core Principles</w:t>
            </w:r>
          </w:p>
        </w:tc>
        <w:tc>
          <w:tcPr>
            <w:tcW w:w="2471" w:type="dxa"/>
          </w:tcPr>
          <w:p w14:paraId="79E1FF14" w14:textId="77777777" w:rsidR="00A342F9" w:rsidRPr="00BD4D78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Findings</w:t>
            </w:r>
          </w:p>
        </w:tc>
        <w:tc>
          <w:tcPr>
            <w:tcW w:w="2126" w:type="dxa"/>
          </w:tcPr>
          <w:p w14:paraId="6E0393B5" w14:textId="77777777" w:rsidR="00A342F9" w:rsidRPr="00BD4D78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Comment of HIA</w:t>
            </w:r>
          </w:p>
        </w:tc>
        <w:tc>
          <w:tcPr>
            <w:tcW w:w="993" w:type="dxa"/>
          </w:tcPr>
          <w:p w14:paraId="1A4677D3" w14:textId="77777777" w:rsidR="00A342F9" w:rsidRPr="00BD4D78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1665" w:type="dxa"/>
          </w:tcPr>
          <w:p w14:paraId="1C6F90E1" w14:textId="77777777" w:rsidR="00A342F9" w:rsidRPr="00BD4D78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Agreed Actions/</w:t>
            </w:r>
          </w:p>
          <w:p w14:paraId="7EFB6750" w14:textId="1B17C6C7" w:rsidR="00A342F9" w:rsidRPr="00BD4D78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Responsible Office</w:t>
            </w:r>
            <w:r w:rsidR="00F34E6C"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</w:t>
            </w: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/Date</w:t>
            </w:r>
          </w:p>
        </w:tc>
        <w:tc>
          <w:tcPr>
            <w:tcW w:w="1170" w:type="dxa"/>
          </w:tcPr>
          <w:p w14:paraId="0DB76F76" w14:textId="77777777" w:rsidR="00A342F9" w:rsidRPr="00BD4D78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Status</w:t>
            </w:r>
          </w:p>
        </w:tc>
      </w:tr>
      <w:tr w:rsidR="00A342F9" w14:paraId="7DD735A3" w14:textId="77777777" w:rsidTr="31C90F15">
        <w:tc>
          <w:tcPr>
            <w:tcW w:w="1635" w:type="dxa"/>
          </w:tcPr>
          <w:p w14:paraId="7BF633A3" w14:textId="77777777" w:rsidR="00A342F9" w:rsidRPr="00BD4D78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  <w:t>Organisational Independence</w:t>
            </w:r>
          </w:p>
        </w:tc>
        <w:tc>
          <w:tcPr>
            <w:tcW w:w="2471" w:type="dxa"/>
          </w:tcPr>
          <w:p w14:paraId="2F27E249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Currently the role has </w:t>
            </w:r>
            <w:proofErr w:type="gramStart"/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status</w:t>
            </w:r>
            <w:proofErr w:type="gramEnd"/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but seniority of the CAE is not in line with other senior officers in the Council, respect is shown by colleagues and Members. </w:t>
            </w:r>
          </w:p>
        </w:tc>
        <w:tc>
          <w:tcPr>
            <w:tcW w:w="2126" w:type="dxa"/>
          </w:tcPr>
          <w:p w14:paraId="2820DDEB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Resources have been challenging in recent years. The position in the Council is below that expected. This is supported by benchmarking.</w:t>
            </w:r>
          </w:p>
        </w:tc>
        <w:tc>
          <w:tcPr>
            <w:tcW w:w="993" w:type="dxa"/>
          </w:tcPr>
          <w:p w14:paraId="0FEE3A38" w14:textId="77777777" w:rsidR="00A342F9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High</w:t>
            </w:r>
          </w:p>
        </w:tc>
        <w:tc>
          <w:tcPr>
            <w:tcW w:w="1665" w:type="dxa"/>
          </w:tcPr>
          <w:p w14:paraId="413C3283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Restructure of the service is currently being proposed.</w:t>
            </w:r>
          </w:p>
          <w:p w14:paraId="3D6A9FF6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BB07438" w14:textId="0044F48D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HIA</w:t>
            </w:r>
            <w:r w:rsidR="004561B9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638AC91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01/04/24</w:t>
            </w:r>
          </w:p>
        </w:tc>
        <w:tc>
          <w:tcPr>
            <w:tcW w:w="1170" w:type="dxa"/>
          </w:tcPr>
          <w:p w14:paraId="6B6787F2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In progress</w:t>
            </w:r>
          </w:p>
        </w:tc>
      </w:tr>
      <w:tr w:rsidR="00A342F9" w14:paraId="71E2B453" w14:textId="77777777" w:rsidTr="31C90F15">
        <w:trPr>
          <w:trHeight w:val="1181"/>
        </w:trPr>
        <w:tc>
          <w:tcPr>
            <w:tcW w:w="1635" w:type="dxa"/>
          </w:tcPr>
          <w:p w14:paraId="4431AF9E" w14:textId="77777777" w:rsidR="00A342F9" w:rsidRPr="00762F4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  <w:t>Quality Assurance and Improvement Programme</w:t>
            </w:r>
          </w:p>
        </w:tc>
        <w:tc>
          <w:tcPr>
            <w:tcW w:w="2471" w:type="dxa"/>
          </w:tcPr>
          <w:p w14:paraId="412B0E8D" w14:textId="4CC98AA4" w:rsidR="00A342F9" w:rsidRDefault="004561B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No</w:t>
            </w:r>
            <w:r w:rsidR="00A342F9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QAIP prepared since the last external assessment in 2017.</w:t>
            </w:r>
          </w:p>
        </w:tc>
        <w:tc>
          <w:tcPr>
            <w:tcW w:w="2126" w:type="dxa"/>
          </w:tcPr>
          <w:p w14:paraId="2BD9FC02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A QAIP will be prepared following this self-assessment</w:t>
            </w:r>
          </w:p>
        </w:tc>
        <w:tc>
          <w:tcPr>
            <w:tcW w:w="993" w:type="dxa"/>
          </w:tcPr>
          <w:p w14:paraId="64A5A8D3" w14:textId="77777777" w:rsidR="00A342F9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Medium</w:t>
            </w:r>
          </w:p>
        </w:tc>
        <w:tc>
          <w:tcPr>
            <w:tcW w:w="1665" w:type="dxa"/>
          </w:tcPr>
          <w:p w14:paraId="424A8729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Prepare QAIP</w:t>
            </w:r>
          </w:p>
          <w:p w14:paraId="0043538D" w14:textId="25BC38B2" w:rsidR="31C90F15" w:rsidRDefault="31C90F15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B66101B" w14:textId="168585CE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HIA</w:t>
            </w:r>
            <w:r w:rsidR="004561B9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-</w:t>
            </w:r>
            <w:r w:rsidR="3399F633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1/04/24</w:t>
            </w:r>
          </w:p>
        </w:tc>
        <w:tc>
          <w:tcPr>
            <w:tcW w:w="1170" w:type="dxa"/>
          </w:tcPr>
          <w:p w14:paraId="2584C768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In progress</w:t>
            </w:r>
          </w:p>
        </w:tc>
      </w:tr>
      <w:tr w:rsidR="00F43681" w14:paraId="5F4855B8" w14:textId="77777777" w:rsidTr="31C90F15">
        <w:tc>
          <w:tcPr>
            <w:tcW w:w="1635" w:type="dxa"/>
            <w:vMerge w:val="restart"/>
          </w:tcPr>
          <w:p w14:paraId="212CC24D" w14:textId="77777777" w:rsidR="00F43681" w:rsidRPr="00762F49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  <w:t>Internal Assessments</w:t>
            </w:r>
          </w:p>
        </w:tc>
        <w:tc>
          <w:tcPr>
            <w:tcW w:w="2471" w:type="dxa"/>
          </w:tcPr>
          <w:p w14:paraId="4D26B80C" w14:textId="6EF07986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1. The last self-assessment was completed in 2019 but did not get reported anywhere.</w:t>
            </w:r>
          </w:p>
        </w:tc>
        <w:tc>
          <w:tcPr>
            <w:tcW w:w="2126" w:type="dxa"/>
          </w:tcPr>
          <w:p w14:paraId="616F876A" w14:textId="77777777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Self-assessment completed in December 2023. Findings to be reported to GARMS in Jan 2024.</w:t>
            </w:r>
          </w:p>
        </w:tc>
        <w:tc>
          <w:tcPr>
            <w:tcW w:w="993" w:type="dxa"/>
          </w:tcPr>
          <w:p w14:paraId="0EAACC4C" w14:textId="77777777" w:rsidR="00F43681" w:rsidRDefault="00F43681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Low</w:t>
            </w:r>
          </w:p>
        </w:tc>
        <w:tc>
          <w:tcPr>
            <w:tcW w:w="1665" w:type="dxa"/>
          </w:tcPr>
          <w:p w14:paraId="7A68B9E1" w14:textId="77777777" w:rsidR="005F65CE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Summary included in IA Progress </w:t>
            </w:r>
            <w:r w:rsidR="005F65CE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for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GARMS</w:t>
            </w:r>
            <w:r w:rsidR="005F65CE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496C2A78" w14:textId="56F285ED" w:rsidR="00F43681" w:rsidRDefault="005F65CE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31/01/24</w:t>
            </w:r>
          </w:p>
        </w:tc>
        <w:tc>
          <w:tcPr>
            <w:tcW w:w="1170" w:type="dxa"/>
          </w:tcPr>
          <w:p w14:paraId="55A61389" w14:textId="77777777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Completed</w:t>
            </w:r>
          </w:p>
        </w:tc>
      </w:tr>
      <w:tr w:rsidR="00F43681" w14:paraId="3DB57C6C" w14:textId="77777777" w:rsidTr="31C90F15">
        <w:tc>
          <w:tcPr>
            <w:tcW w:w="1635" w:type="dxa"/>
            <w:vMerge/>
          </w:tcPr>
          <w:p w14:paraId="750D63B5" w14:textId="77777777" w:rsidR="00F43681" w:rsidRPr="00762F49" w:rsidRDefault="00F43681" w:rsidP="00A342F9">
            <w:pPr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2471" w:type="dxa"/>
          </w:tcPr>
          <w:p w14:paraId="1DB71E3A" w14:textId="36987F85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2. Customer satisfaction surveys are not undertaken at the conclusion of audits.</w:t>
            </w:r>
          </w:p>
        </w:tc>
        <w:tc>
          <w:tcPr>
            <w:tcW w:w="2126" w:type="dxa"/>
          </w:tcPr>
          <w:p w14:paraId="150F5A22" w14:textId="77777777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The response rate has historically been poor to customer satisfaction surveys. Consultation will be undertaken with FDMT with a view to reintroduce for a trial period.</w:t>
            </w:r>
          </w:p>
        </w:tc>
        <w:tc>
          <w:tcPr>
            <w:tcW w:w="993" w:type="dxa"/>
          </w:tcPr>
          <w:p w14:paraId="090193A3" w14:textId="77777777" w:rsidR="00F43681" w:rsidRDefault="00F43681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Low</w:t>
            </w:r>
          </w:p>
        </w:tc>
        <w:tc>
          <w:tcPr>
            <w:tcW w:w="1665" w:type="dxa"/>
          </w:tcPr>
          <w:p w14:paraId="1C897A0E" w14:textId="3E5AE6CE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gramStart"/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Consult</w:t>
            </w:r>
            <w:r w:rsidR="002B42E8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with</w:t>
            </w:r>
            <w:proofErr w:type="gramEnd"/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FDMT</w:t>
            </w:r>
            <w:r w:rsidR="00A65662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to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2B42E8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re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introduce for trial</w:t>
            </w:r>
            <w:r w:rsidR="002B42E8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5F65CE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period</w:t>
            </w:r>
          </w:p>
          <w:p w14:paraId="611C3A82" w14:textId="77777777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Annually carry out survey with senior managers.</w:t>
            </w:r>
          </w:p>
          <w:p w14:paraId="12FD7BC0" w14:textId="77777777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27B300B" w14:textId="67D14FEA" w:rsidR="00F43681" w:rsidRDefault="00F43681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HIA</w:t>
            </w:r>
            <w:r w:rsidR="00B40E53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01/04/2</w:t>
            </w:r>
          </w:p>
        </w:tc>
        <w:tc>
          <w:tcPr>
            <w:tcW w:w="1170" w:type="dxa"/>
          </w:tcPr>
          <w:p w14:paraId="7AEEFEE4" w14:textId="10DC2363" w:rsidR="00F43681" w:rsidRDefault="00B40E53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Ongoing</w:t>
            </w:r>
          </w:p>
        </w:tc>
      </w:tr>
      <w:tr w:rsidR="00A342F9" w14:paraId="6B523E76" w14:textId="77777777" w:rsidTr="31C90F15">
        <w:tc>
          <w:tcPr>
            <w:tcW w:w="1635" w:type="dxa"/>
          </w:tcPr>
          <w:p w14:paraId="7672FDFE" w14:textId="77777777" w:rsidR="00A342F9" w:rsidRPr="00762F4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  <w:t>External Assessments</w:t>
            </w:r>
          </w:p>
        </w:tc>
        <w:tc>
          <w:tcPr>
            <w:tcW w:w="2471" w:type="dxa"/>
          </w:tcPr>
          <w:p w14:paraId="3486F368" w14:textId="6E5EFAD8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Last external assessment was in 2017. A review should have taken place by 2022. Due to the Covid pandemic external peer reviews were suspended until 2021/22. These have now resumed but most LAs are non-conforming.</w:t>
            </w:r>
          </w:p>
        </w:tc>
        <w:tc>
          <w:tcPr>
            <w:tcW w:w="2126" w:type="dxa"/>
          </w:tcPr>
          <w:p w14:paraId="3834B99E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Enquiries to be made with the London Audit Group to organise a peer review in 2024/25.</w:t>
            </w:r>
          </w:p>
        </w:tc>
        <w:tc>
          <w:tcPr>
            <w:tcW w:w="993" w:type="dxa"/>
          </w:tcPr>
          <w:p w14:paraId="59C1BE42" w14:textId="77777777" w:rsidR="00A342F9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High</w:t>
            </w:r>
          </w:p>
        </w:tc>
        <w:tc>
          <w:tcPr>
            <w:tcW w:w="1665" w:type="dxa"/>
          </w:tcPr>
          <w:p w14:paraId="1ADA8CD2" w14:textId="2D41DCB4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HIA</w:t>
            </w:r>
            <w:r w:rsidR="00B40E53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-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01/04/24</w:t>
            </w:r>
          </w:p>
        </w:tc>
        <w:tc>
          <w:tcPr>
            <w:tcW w:w="1170" w:type="dxa"/>
          </w:tcPr>
          <w:p w14:paraId="4D590644" w14:textId="26F45D9C" w:rsidR="00A342F9" w:rsidRDefault="00B40E53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Ongoing</w:t>
            </w:r>
          </w:p>
        </w:tc>
      </w:tr>
      <w:tr w:rsidR="00A342F9" w14:paraId="0DC5E123" w14:textId="77777777" w:rsidTr="31C90F15">
        <w:tc>
          <w:tcPr>
            <w:tcW w:w="1635" w:type="dxa"/>
          </w:tcPr>
          <w:p w14:paraId="4D3313F3" w14:textId="77777777" w:rsidR="00A342F9" w:rsidRPr="00691565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  <w:t>Reporting on the QAIP</w:t>
            </w:r>
          </w:p>
        </w:tc>
        <w:tc>
          <w:tcPr>
            <w:tcW w:w="2471" w:type="dxa"/>
          </w:tcPr>
          <w:p w14:paraId="3B913E73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This has not happened since 2017.</w:t>
            </w:r>
          </w:p>
        </w:tc>
        <w:tc>
          <w:tcPr>
            <w:tcW w:w="2126" w:type="dxa"/>
          </w:tcPr>
          <w:p w14:paraId="4E158E34" w14:textId="5D3D36A0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Findings </w:t>
            </w:r>
            <w:r w:rsidR="002B42E8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of 2023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will be reported to GARMS</w:t>
            </w:r>
            <w:r w:rsidR="630063AC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8302404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progress on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future QAIPs </w:t>
            </w:r>
            <w:r w:rsidR="15A138E5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to be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included in annual report.</w:t>
            </w:r>
          </w:p>
        </w:tc>
        <w:tc>
          <w:tcPr>
            <w:tcW w:w="993" w:type="dxa"/>
          </w:tcPr>
          <w:p w14:paraId="2BFD4539" w14:textId="77777777" w:rsidR="00A342F9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Medium</w:t>
            </w:r>
          </w:p>
        </w:tc>
        <w:tc>
          <w:tcPr>
            <w:tcW w:w="1665" w:type="dxa"/>
          </w:tcPr>
          <w:p w14:paraId="2E555780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To be included in annual report to GARMS</w:t>
            </w:r>
          </w:p>
          <w:p w14:paraId="1B0AA165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9884606" w14:textId="4774F2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HIA</w:t>
            </w:r>
            <w:r w:rsidR="00F34E6C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-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01/06/24</w:t>
            </w:r>
          </w:p>
        </w:tc>
        <w:tc>
          <w:tcPr>
            <w:tcW w:w="1170" w:type="dxa"/>
          </w:tcPr>
          <w:p w14:paraId="0BF33F09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43681" w14:paraId="16402EC9" w14:textId="77777777" w:rsidTr="31C90F15">
        <w:tc>
          <w:tcPr>
            <w:tcW w:w="1635" w:type="dxa"/>
          </w:tcPr>
          <w:p w14:paraId="7B5ABD46" w14:textId="77777777" w:rsidR="00A342F9" w:rsidRPr="00691565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b/>
                <w:bCs/>
                <w:color w:val="7030A0"/>
                <w:sz w:val="20"/>
                <w:szCs w:val="20"/>
              </w:rPr>
              <w:t>Disclosure of Non-conformance</w:t>
            </w:r>
          </w:p>
        </w:tc>
        <w:tc>
          <w:tcPr>
            <w:tcW w:w="2471" w:type="dxa"/>
          </w:tcPr>
          <w:p w14:paraId="631C2428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No assessment of any kind since 2019 has not been reported to GARMS.</w:t>
            </w:r>
          </w:p>
        </w:tc>
        <w:tc>
          <w:tcPr>
            <w:tcW w:w="2126" w:type="dxa"/>
          </w:tcPr>
          <w:p w14:paraId="49A40AF1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This will be reported to GARMS in January 2024.</w:t>
            </w:r>
          </w:p>
        </w:tc>
        <w:tc>
          <w:tcPr>
            <w:tcW w:w="993" w:type="dxa"/>
          </w:tcPr>
          <w:p w14:paraId="3544956B" w14:textId="77777777" w:rsidR="00A342F9" w:rsidRDefault="00A342F9" w:rsidP="31C90F1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Medium</w:t>
            </w:r>
          </w:p>
        </w:tc>
        <w:tc>
          <w:tcPr>
            <w:tcW w:w="1665" w:type="dxa"/>
          </w:tcPr>
          <w:p w14:paraId="212481AE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HIA</w:t>
            </w:r>
            <w:r w:rsidR="00F34E6C"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- </w:t>
            </w: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31/01/24</w:t>
            </w:r>
          </w:p>
          <w:p w14:paraId="5EF7E42F" w14:textId="255FEF51" w:rsidR="00755447" w:rsidRDefault="00755447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January Meeting of GARMS was cancelled, deferred to April 2024</w:t>
            </w:r>
          </w:p>
        </w:tc>
        <w:tc>
          <w:tcPr>
            <w:tcW w:w="1170" w:type="dxa"/>
          </w:tcPr>
          <w:p w14:paraId="66F9BFCE" w14:textId="77777777" w:rsidR="00A342F9" w:rsidRDefault="00A342F9" w:rsidP="31C90F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1C90F15">
              <w:rPr>
                <w:rFonts w:asciiTheme="minorHAnsi" w:eastAsiaTheme="minorEastAsia" w:hAnsiTheme="minorHAnsi" w:cstheme="minorBidi"/>
                <w:sz w:val="20"/>
                <w:szCs w:val="20"/>
              </w:rPr>
              <w:t>In progress</w:t>
            </w:r>
          </w:p>
        </w:tc>
      </w:tr>
    </w:tbl>
    <w:p w14:paraId="3361134C" w14:textId="77777777" w:rsidR="00EC3DD5" w:rsidRPr="000C17D4" w:rsidRDefault="00EC3DD5" w:rsidP="000C17D4">
      <w:pPr>
        <w:pStyle w:val="BodyText"/>
        <w:ind w:left="284"/>
        <w:jc w:val="both"/>
      </w:pPr>
    </w:p>
    <w:sectPr w:rsidR="00EC3DD5" w:rsidRPr="000C17D4" w:rsidSect="00FA2B65">
      <w:headerReference w:type="default" r:id="rId11"/>
      <w:footerReference w:type="default" r:id="rId12"/>
      <w:pgSz w:w="11906" w:h="16838"/>
      <w:pgMar w:top="539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61BF" w14:textId="77777777" w:rsidR="00EB4961" w:rsidRDefault="00EB4961" w:rsidP="000F59D4">
      <w:pPr>
        <w:spacing w:after="0" w:line="240" w:lineRule="auto"/>
      </w:pPr>
      <w:r>
        <w:separator/>
      </w:r>
    </w:p>
  </w:endnote>
  <w:endnote w:type="continuationSeparator" w:id="0">
    <w:p w14:paraId="70A9DAAD" w14:textId="77777777" w:rsidR="00EB4961" w:rsidRDefault="00EB4961" w:rsidP="000F59D4">
      <w:pPr>
        <w:spacing w:after="0" w:line="240" w:lineRule="auto"/>
      </w:pPr>
      <w:r>
        <w:continuationSeparator/>
      </w:r>
    </w:p>
  </w:endnote>
  <w:endnote w:type="continuationNotice" w:id="1">
    <w:p w14:paraId="4155BFF8" w14:textId="77777777" w:rsidR="00EB4961" w:rsidRDefault="00EB4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8D685DB" w14:paraId="43DE8D5D" w14:textId="77777777" w:rsidTr="58D685DB">
      <w:trPr>
        <w:trHeight w:val="300"/>
      </w:trPr>
      <w:tc>
        <w:tcPr>
          <w:tcW w:w="3360" w:type="dxa"/>
        </w:tcPr>
        <w:p w14:paraId="1DA48A1C" w14:textId="38B0A0D7" w:rsidR="58D685DB" w:rsidRDefault="58D685DB" w:rsidP="58D685DB">
          <w:pPr>
            <w:pStyle w:val="Header"/>
            <w:ind w:left="-115"/>
          </w:pPr>
        </w:p>
      </w:tc>
      <w:tc>
        <w:tcPr>
          <w:tcW w:w="3360" w:type="dxa"/>
        </w:tcPr>
        <w:p w14:paraId="7C7FD035" w14:textId="22999402" w:rsidR="58D685DB" w:rsidRDefault="58D685DB" w:rsidP="58D685DB">
          <w:pPr>
            <w:pStyle w:val="Header"/>
            <w:jc w:val="center"/>
          </w:pPr>
        </w:p>
      </w:tc>
      <w:tc>
        <w:tcPr>
          <w:tcW w:w="3360" w:type="dxa"/>
        </w:tcPr>
        <w:p w14:paraId="63F07CB9" w14:textId="1B9865CC" w:rsidR="58D685DB" w:rsidRDefault="58D685DB" w:rsidP="58D685DB">
          <w:pPr>
            <w:pStyle w:val="Header"/>
            <w:ind w:right="-115"/>
            <w:jc w:val="right"/>
          </w:pPr>
        </w:p>
      </w:tc>
    </w:tr>
  </w:tbl>
  <w:p w14:paraId="2F4CCB3D" w14:textId="67CB70C4" w:rsidR="00821A56" w:rsidRDefault="0082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67BF" w14:textId="77777777" w:rsidR="00EB4961" w:rsidRDefault="00EB4961" w:rsidP="000F59D4">
      <w:pPr>
        <w:spacing w:after="0" w:line="240" w:lineRule="auto"/>
      </w:pPr>
      <w:r>
        <w:separator/>
      </w:r>
    </w:p>
  </w:footnote>
  <w:footnote w:type="continuationSeparator" w:id="0">
    <w:p w14:paraId="16A039C7" w14:textId="77777777" w:rsidR="00EB4961" w:rsidRDefault="00EB4961" w:rsidP="000F59D4">
      <w:pPr>
        <w:spacing w:after="0" w:line="240" w:lineRule="auto"/>
      </w:pPr>
      <w:r>
        <w:continuationSeparator/>
      </w:r>
    </w:p>
  </w:footnote>
  <w:footnote w:type="continuationNotice" w:id="1">
    <w:p w14:paraId="5DCF2E27" w14:textId="77777777" w:rsidR="00EB4961" w:rsidRDefault="00EB4961">
      <w:pPr>
        <w:spacing w:after="0" w:line="240" w:lineRule="auto"/>
      </w:pPr>
    </w:p>
  </w:footnote>
  <w:footnote w:id="2">
    <w:p w14:paraId="26C847C0" w14:textId="1D9429B8" w:rsidR="003F2BD6" w:rsidRDefault="003F2BD6">
      <w:pPr>
        <w:pStyle w:val="FootnoteText"/>
      </w:pPr>
      <w:r>
        <w:rPr>
          <w:rStyle w:val="FootnoteReference"/>
        </w:rPr>
        <w:footnoteRef/>
      </w:r>
      <w:r>
        <w:t xml:space="preserve"> Statistical data</w:t>
      </w:r>
      <w:r w:rsidR="002E23FB">
        <w:t>, other than number of referrals, may include cases ongoing from previous periods.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6A0" w:firstRow="1" w:lastRow="0" w:firstColumn="1" w:lastColumn="0" w:noHBand="1" w:noVBand="1"/>
    </w:tblPr>
    <w:tblGrid>
      <w:gridCol w:w="3360"/>
      <w:gridCol w:w="6563"/>
    </w:tblGrid>
    <w:tr w:rsidR="58D685DB" w14:paraId="47347E0B" w14:textId="77777777" w:rsidTr="000B7E3A">
      <w:trPr>
        <w:trHeight w:val="300"/>
      </w:trPr>
      <w:tc>
        <w:tcPr>
          <w:tcW w:w="3360" w:type="dxa"/>
        </w:tcPr>
        <w:p w14:paraId="4C4FAEE8" w14:textId="55C718BD" w:rsidR="58D685DB" w:rsidRDefault="58D685DB" w:rsidP="16C7B9D5">
          <w:pPr>
            <w:pStyle w:val="Header"/>
            <w:ind w:left="-2070"/>
          </w:pPr>
        </w:p>
      </w:tc>
      <w:tc>
        <w:tcPr>
          <w:tcW w:w="6563" w:type="dxa"/>
        </w:tcPr>
        <w:p w14:paraId="3222D019" w14:textId="36C3E2FA" w:rsidR="58D685DB" w:rsidRDefault="16C7B9D5" w:rsidP="16C7B9D5">
          <w:pPr>
            <w:pStyle w:val="Header"/>
            <w:ind w:right="-115"/>
            <w:jc w:val="right"/>
            <w:rPr>
              <w:rFonts w:ascii="Arial" w:eastAsia="Arial" w:hAnsi="Arial" w:cs="Arial"/>
            </w:rPr>
          </w:pPr>
          <w:r w:rsidRPr="16C7B9D5">
            <w:rPr>
              <w:rFonts w:ascii="Arial" w:eastAsia="Arial" w:hAnsi="Arial" w:cs="Arial"/>
            </w:rPr>
            <w:t xml:space="preserve">                 </w:t>
          </w:r>
          <w:r w:rsidR="000B7E3A">
            <w:rPr>
              <w:rFonts w:ascii="Arial" w:eastAsia="Arial" w:hAnsi="Arial" w:cs="Arial"/>
            </w:rPr>
            <w:t xml:space="preserve">    </w:t>
          </w:r>
          <w:r w:rsidRPr="16C7B9D5">
            <w:rPr>
              <w:rFonts w:ascii="Arial" w:eastAsia="Arial" w:hAnsi="Arial" w:cs="Arial"/>
            </w:rPr>
            <w:t xml:space="preserve"> </w:t>
          </w:r>
          <w:r w:rsidR="00F46C94">
            <w:rPr>
              <w:rFonts w:ascii="Arial" w:eastAsia="Arial" w:hAnsi="Arial" w:cs="Arial"/>
            </w:rPr>
            <w:t xml:space="preserve"> </w:t>
          </w:r>
          <w:r w:rsidRPr="16C7B9D5">
            <w:rPr>
              <w:rFonts w:ascii="Arial" w:eastAsia="Arial" w:hAnsi="Arial" w:cs="Arial"/>
            </w:rPr>
            <w:t xml:space="preserve">Appendix </w:t>
          </w:r>
          <w:r w:rsidR="00F46C94">
            <w:rPr>
              <w:rFonts w:ascii="Arial" w:eastAsia="Arial" w:hAnsi="Arial" w:cs="Arial"/>
            </w:rPr>
            <w:t>1</w:t>
          </w:r>
        </w:p>
      </w:tc>
    </w:tr>
  </w:tbl>
  <w:p w14:paraId="680A51F8" w14:textId="3D01A7A8" w:rsidR="00821A56" w:rsidRDefault="00821A5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bYNDf2HylEZsE" int2:id="EG9ozb3g">
      <int2:state int2:value="Rejected" int2:type="AugLoop_Text_Critique"/>
    </int2:textHash>
    <int2:textHash int2:hashCode="NSGspd6Cvj45IF" int2:id="VD1xprTm">
      <int2:state int2:value="Rejected" int2:type="AugLoop_Text_Critique"/>
    </int2:textHash>
    <int2:textHash int2:hashCode="8RFRqAgchgKK1H" int2:id="oJaZyvW7">
      <int2:state int2:value="Rejected" int2:type="AugLoop_Text_Critique"/>
    </int2:textHash>
    <int2:textHash int2:hashCode="+Uc5NzpeLJA6UH" int2:id="wm7ke7ce">
      <int2:state int2:value="Rejected" int2:type="AugLoop_Text_Critique"/>
    </int2:textHash>
    <int2:bookmark int2:bookmarkName="_Int_209iA0ic" int2:invalidationBookmarkName="" int2:hashCode="tCG/U2UqMsvfoS" int2:id="5GUsXasZ">
      <int2:state int2:value="Rejected" int2:type="AugLoop_Text_Critique"/>
    </int2:bookmark>
    <int2:bookmark int2:bookmarkName="_Int_wEyi6XdT" int2:invalidationBookmarkName="" int2:hashCode="6RCGil4K4no4b0" int2:id="8x0fQvgF">
      <int2:state int2:value="Rejected" int2:type="AugLoop_Text_Critique"/>
    </int2:bookmark>
    <int2:bookmark int2:bookmarkName="_Int_UhFOnEHW" int2:invalidationBookmarkName="" int2:hashCode="l7bsUz38kXPiSk" int2:id="CuPFv9RW">
      <int2:state int2:value="Rejected" int2:type="AugLoop_Text_Critique"/>
    </int2:bookmark>
    <int2:bookmark int2:bookmarkName="_Int_GqHSbwjc" int2:invalidationBookmarkName="" int2:hashCode="tCG/U2UqMsvfoS" int2:id="UVofPsCz">
      <int2:state int2:value="Rejected" int2:type="AugLoop_Text_Critique"/>
    </int2:bookmark>
    <int2:bookmark int2:bookmarkName="_Int_oMUjC8k7" int2:invalidationBookmarkName="" int2:hashCode="+5Lz+DTxM0d7BF" int2:id="UwnqSbAN">
      <int2:state int2:value="Rejected" int2:type="AugLoop_Text_Critique"/>
    </int2:bookmark>
    <int2:bookmark int2:bookmarkName="_Int_uSMcJqKj" int2:invalidationBookmarkName="" int2:hashCode="+5Lz+DTxM0d7BF" int2:id="bLn4IVIg">
      <int2:state int2:value="Rejected" int2:type="AugLoop_Text_Critique"/>
    </int2:bookmark>
    <int2:bookmark int2:bookmarkName="_Int_zaS7NOSl" int2:invalidationBookmarkName="" int2:hashCode="VojPsnxhPcu/KA" int2:id="jEhQS60o">
      <int2:state int2:value="Rejected" int2:type="AugLoop_Text_Critique"/>
    </int2:bookmark>
    <int2:bookmark int2:bookmarkName="_Int_uBaux2cv" int2:invalidationBookmarkName="" int2:hashCode="6RCGil4K4no4b0" int2:id="ppvkv3x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688"/>
    <w:multiLevelType w:val="hybridMultilevel"/>
    <w:tmpl w:val="093CA834"/>
    <w:lvl w:ilvl="0" w:tplc="6FF6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C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26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E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D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2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B23C0"/>
    <w:multiLevelType w:val="multilevel"/>
    <w:tmpl w:val="D84A3ED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520"/>
      </w:pPr>
      <w:rPr>
        <w:rFonts w:hint="default"/>
      </w:rPr>
    </w:lvl>
  </w:abstractNum>
  <w:abstractNum w:abstractNumId="2" w15:restartNumberingAfterBreak="0">
    <w:nsid w:val="0A0E5A83"/>
    <w:multiLevelType w:val="hybridMultilevel"/>
    <w:tmpl w:val="4C9A1586"/>
    <w:lvl w:ilvl="0" w:tplc="18DC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E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2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0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1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A25F7"/>
    <w:multiLevelType w:val="multilevel"/>
    <w:tmpl w:val="7812AD9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1440738"/>
    <w:multiLevelType w:val="hybridMultilevel"/>
    <w:tmpl w:val="29922C0E"/>
    <w:lvl w:ilvl="0" w:tplc="68E81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4B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C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8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E7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36819"/>
    <w:multiLevelType w:val="hybridMultilevel"/>
    <w:tmpl w:val="11AE7CB2"/>
    <w:lvl w:ilvl="0" w:tplc="382C8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22BE"/>
    <w:multiLevelType w:val="hybridMultilevel"/>
    <w:tmpl w:val="0F6C22A8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7" w15:restartNumberingAfterBreak="0">
    <w:nsid w:val="1BED082F"/>
    <w:multiLevelType w:val="hybridMultilevel"/>
    <w:tmpl w:val="2F7ABB58"/>
    <w:lvl w:ilvl="0" w:tplc="B498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9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C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0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F46F6D"/>
    <w:multiLevelType w:val="hybridMultilevel"/>
    <w:tmpl w:val="00841D62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1E706874"/>
    <w:multiLevelType w:val="multilevel"/>
    <w:tmpl w:val="E65614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8A86E7A"/>
    <w:multiLevelType w:val="hybridMultilevel"/>
    <w:tmpl w:val="BBE82D8C"/>
    <w:lvl w:ilvl="0" w:tplc="83109A6C">
      <w:start w:val="2"/>
      <w:numFmt w:val="bullet"/>
      <w:lvlText w:val="-"/>
      <w:lvlJc w:val="left"/>
      <w:pPr>
        <w:ind w:left="635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2E9C52E7"/>
    <w:multiLevelType w:val="hybridMultilevel"/>
    <w:tmpl w:val="559EF1D8"/>
    <w:lvl w:ilvl="0" w:tplc="A16AF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B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A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381E15"/>
    <w:multiLevelType w:val="hybridMultilevel"/>
    <w:tmpl w:val="FFFFFFFF"/>
    <w:lvl w:ilvl="0" w:tplc="C8C4B578">
      <w:start w:val="1"/>
      <w:numFmt w:val="decimal"/>
      <w:lvlText w:val="%1."/>
      <w:lvlJc w:val="left"/>
      <w:pPr>
        <w:ind w:left="720" w:hanging="360"/>
      </w:pPr>
    </w:lvl>
    <w:lvl w:ilvl="1" w:tplc="37DA0E06">
      <w:start w:val="1"/>
      <w:numFmt w:val="lowerLetter"/>
      <w:lvlText w:val="%2."/>
      <w:lvlJc w:val="left"/>
      <w:pPr>
        <w:ind w:left="1440" w:hanging="360"/>
      </w:pPr>
    </w:lvl>
    <w:lvl w:ilvl="2" w:tplc="44340B42">
      <w:start w:val="1"/>
      <w:numFmt w:val="lowerRoman"/>
      <w:lvlText w:val="%3."/>
      <w:lvlJc w:val="right"/>
      <w:pPr>
        <w:ind w:left="2160" w:hanging="180"/>
      </w:pPr>
    </w:lvl>
    <w:lvl w:ilvl="3" w:tplc="2B6AD524">
      <w:start w:val="1"/>
      <w:numFmt w:val="decimal"/>
      <w:lvlText w:val="%4."/>
      <w:lvlJc w:val="left"/>
      <w:pPr>
        <w:ind w:left="2880" w:hanging="360"/>
      </w:pPr>
    </w:lvl>
    <w:lvl w:ilvl="4" w:tplc="854E6898">
      <w:start w:val="1"/>
      <w:numFmt w:val="lowerLetter"/>
      <w:lvlText w:val="%5."/>
      <w:lvlJc w:val="left"/>
      <w:pPr>
        <w:ind w:left="3600" w:hanging="360"/>
      </w:pPr>
    </w:lvl>
    <w:lvl w:ilvl="5" w:tplc="2BE8BD40">
      <w:start w:val="1"/>
      <w:numFmt w:val="lowerRoman"/>
      <w:lvlText w:val="%6."/>
      <w:lvlJc w:val="right"/>
      <w:pPr>
        <w:ind w:left="4320" w:hanging="180"/>
      </w:pPr>
    </w:lvl>
    <w:lvl w:ilvl="6" w:tplc="C3F0868C">
      <w:start w:val="1"/>
      <w:numFmt w:val="decimal"/>
      <w:lvlText w:val="%7."/>
      <w:lvlJc w:val="left"/>
      <w:pPr>
        <w:ind w:left="5040" w:hanging="360"/>
      </w:pPr>
    </w:lvl>
    <w:lvl w:ilvl="7" w:tplc="1E1C6516">
      <w:start w:val="1"/>
      <w:numFmt w:val="lowerLetter"/>
      <w:lvlText w:val="%8."/>
      <w:lvlJc w:val="left"/>
      <w:pPr>
        <w:ind w:left="5760" w:hanging="360"/>
      </w:pPr>
    </w:lvl>
    <w:lvl w:ilvl="8" w:tplc="636229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5C125"/>
    <w:multiLevelType w:val="multilevel"/>
    <w:tmpl w:val="FFFFFFFF"/>
    <w:lvl w:ilvl="0">
      <w:start w:val="3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1D5F"/>
    <w:multiLevelType w:val="hybridMultilevel"/>
    <w:tmpl w:val="143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7CA5"/>
    <w:multiLevelType w:val="hybridMultilevel"/>
    <w:tmpl w:val="9C061832"/>
    <w:lvl w:ilvl="0" w:tplc="9BFE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2FAE"/>
    <w:multiLevelType w:val="hybridMultilevel"/>
    <w:tmpl w:val="A96A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5BF5"/>
    <w:multiLevelType w:val="hybridMultilevel"/>
    <w:tmpl w:val="032E3C48"/>
    <w:lvl w:ilvl="0" w:tplc="F764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2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4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A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4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7908EA"/>
    <w:multiLevelType w:val="hybridMultilevel"/>
    <w:tmpl w:val="955428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39C1E3D"/>
    <w:multiLevelType w:val="hybridMultilevel"/>
    <w:tmpl w:val="A498FA88"/>
    <w:lvl w:ilvl="0" w:tplc="CDDA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87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E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8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8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A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A6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A8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5C34B9"/>
    <w:multiLevelType w:val="hybridMultilevel"/>
    <w:tmpl w:val="9D3CA48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DE551E"/>
    <w:multiLevelType w:val="multilevel"/>
    <w:tmpl w:val="38381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22" w15:restartNumberingAfterBreak="0">
    <w:nsid w:val="6D552529"/>
    <w:multiLevelType w:val="hybridMultilevel"/>
    <w:tmpl w:val="93C205C8"/>
    <w:lvl w:ilvl="0" w:tplc="2BD015B2">
      <w:start w:val="2"/>
      <w:numFmt w:val="bullet"/>
      <w:lvlText w:val="-"/>
      <w:lvlJc w:val="left"/>
      <w:pPr>
        <w:ind w:left="275" w:hanging="360"/>
      </w:pPr>
      <w:rPr>
        <w:rFonts w:ascii="Arial" w:eastAsia="Calibr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3" w15:restartNumberingAfterBreak="0">
    <w:nsid w:val="6FA97435"/>
    <w:multiLevelType w:val="hybridMultilevel"/>
    <w:tmpl w:val="268E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52A37"/>
    <w:multiLevelType w:val="hybridMultilevel"/>
    <w:tmpl w:val="9B0A43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729DBC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23293B"/>
    <w:multiLevelType w:val="hybridMultilevel"/>
    <w:tmpl w:val="E1AAF786"/>
    <w:lvl w:ilvl="0" w:tplc="5340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0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8F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C3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E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4764409">
    <w:abstractNumId w:val="13"/>
  </w:num>
  <w:num w:numId="2" w16cid:durableId="787167061">
    <w:abstractNumId w:val="17"/>
  </w:num>
  <w:num w:numId="3" w16cid:durableId="2054646200">
    <w:abstractNumId w:val="25"/>
  </w:num>
  <w:num w:numId="4" w16cid:durableId="1660577692">
    <w:abstractNumId w:val="11"/>
  </w:num>
  <w:num w:numId="5" w16cid:durableId="682128877">
    <w:abstractNumId w:val="2"/>
  </w:num>
  <w:num w:numId="6" w16cid:durableId="599920425">
    <w:abstractNumId w:val="7"/>
  </w:num>
  <w:num w:numId="7" w16cid:durableId="422145883">
    <w:abstractNumId w:val="4"/>
  </w:num>
  <w:num w:numId="8" w16cid:durableId="215553616">
    <w:abstractNumId w:val="19"/>
  </w:num>
  <w:num w:numId="9" w16cid:durableId="1329095108">
    <w:abstractNumId w:val="0"/>
  </w:num>
  <w:num w:numId="10" w16cid:durableId="1400520723">
    <w:abstractNumId w:val="16"/>
  </w:num>
  <w:num w:numId="11" w16cid:durableId="808128768">
    <w:abstractNumId w:val="15"/>
  </w:num>
  <w:num w:numId="12" w16cid:durableId="1592275686">
    <w:abstractNumId w:val="20"/>
  </w:num>
  <w:num w:numId="13" w16cid:durableId="701436597">
    <w:abstractNumId w:val="24"/>
  </w:num>
  <w:num w:numId="14" w16cid:durableId="1811560152">
    <w:abstractNumId w:val="14"/>
  </w:num>
  <w:num w:numId="15" w16cid:durableId="1516075051">
    <w:abstractNumId w:val="8"/>
  </w:num>
  <w:num w:numId="16" w16cid:durableId="511184185">
    <w:abstractNumId w:val="6"/>
  </w:num>
  <w:num w:numId="17" w16cid:durableId="180438493">
    <w:abstractNumId w:val="23"/>
  </w:num>
  <w:num w:numId="18" w16cid:durableId="90443114">
    <w:abstractNumId w:val="23"/>
  </w:num>
  <w:num w:numId="19" w16cid:durableId="1106581141">
    <w:abstractNumId w:val="18"/>
  </w:num>
  <w:num w:numId="20" w16cid:durableId="1090076560">
    <w:abstractNumId w:val="22"/>
  </w:num>
  <w:num w:numId="21" w16cid:durableId="2023893538">
    <w:abstractNumId w:val="10"/>
  </w:num>
  <w:num w:numId="22" w16cid:durableId="726420838">
    <w:abstractNumId w:val="5"/>
  </w:num>
  <w:num w:numId="23" w16cid:durableId="217473379">
    <w:abstractNumId w:val="1"/>
  </w:num>
  <w:num w:numId="24" w16cid:durableId="1362587147">
    <w:abstractNumId w:val="21"/>
  </w:num>
  <w:num w:numId="25" w16cid:durableId="1556041777">
    <w:abstractNumId w:val="3"/>
  </w:num>
  <w:num w:numId="26" w16cid:durableId="1679457422">
    <w:abstractNumId w:val="9"/>
  </w:num>
  <w:num w:numId="27" w16cid:durableId="4128961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B6"/>
    <w:rsid w:val="000035D6"/>
    <w:rsid w:val="00003846"/>
    <w:rsid w:val="00004435"/>
    <w:rsid w:val="0000469E"/>
    <w:rsid w:val="000058F9"/>
    <w:rsid w:val="00007E13"/>
    <w:rsid w:val="000144F5"/>
    <w:rsid w:val="00014EB8"/>
    <w:rsid w:val="00015C42"/>
    <w:rsid w:val="0002091B"/>
    <w:rsid w:val="00022D47"/>
    <w:rsid w:val="000237DD"/>
    <w:rsid w:val="00023822"/>
    <w:rsid w:val="0002524A"/>
    <w:rsid w:val="00026331"/>
    <w:rsid w:val="00027736"/>
    <w:rsid w:val="00032D99"/>
    <w:rsid w:val="00035451"/>
    <w:rsid w:val="00047087"/>
    <w:rsid w:val="00047646"/>
    <w:rsid w:val="00051969"/>
    <w:rsid w:val="00055AEA"/>
    <w:rsid w:val="00056F2C"/>
    <w:rsid w:val="000578CA"/>
    <w:rsid w:val="000614FA"/>
    <w:rsid w:val="00063D6F"/>
    <w:rsid w:val="000657F3"/>
    <w:rsid w:val="00065E7F"/>
    <w:rsid w:val="000700A6"/>
    <w:rsid w:val="00070D67"/>
    <w:rsid w:val="00071A0F"/>
    <w:rsid w:val="00071D4C"/>
    <w:rsid w:val="00071D56"/>
    <w:rsid w:val="000740E9"/>
    <w:rsid w:val="000750D6"/>
    <w:rsid w:val="000807FE"/>
    <w:rsid w:val="00080FEB"/>
    <w:rsid w:val="000812AD"/>
    <w:rsid w:val="00086456"/>
    <w:rsid w:val="00087F59"/>
    <w:rsid w:val="000906BA"/>
    <w:rsid w:val="000913A9"/>
    <w:rsid w:val="00093B14"/>
    <w:rsid w:val="00096B25"/>
    <w:rsid w:val="00097937"/>
    <w:rsid w:val="000A069B"/>
    <w:rsid w:val="000A0AF1"/>
    <w:rsid w:val="000A237E"/>
    <w:rsid w:val="000A280F"/>
    <w:rsid w:val="000A6A6F"/>
    <w:rsid w:val="000A7E80"/>
    <w:rsid w:val="000B1144"/>
    <w:rsid w:val="000B7E3A"/>
    <w:rsid w:val="000C17D4"/>
    <w:rsid w:val="000C1FFA"/>
    <w:rsid w:val="000C2355"/>
    <w:rsid w:val="000C3E9D"/>
    <w:rsid w:val="000C642F"/>
    <w:rsid w:val="000C6DE1"/>
    <w:rsid w:val="000C6ED9"/>
    <w:rsid w:val="000C7A03"/>
    <w:rsid w:val="000D0DA9"/>
    <w:rsid w:val="000D3554"/>
    <w:rsid w:val="000D3EA8"/>
    <w:rsid w:val="000D5039"/>
    <w:rsid w:val="000D7EF6"/>
    <w:rsid w:val="000E1541"/>
    <w:rsid w:val="000E2D5D"/>
    <w:rsid w:val="000E5288"/>
    <w:rsid w:val="000E7B97"/>
    <w:rsid w:val="000F26EE"/>
    <w:rsid w:val="000F4EA7"/>
    <w:rsid w:val="000F5517"/>
    <w:rsid w:val="000F59D4"/>
    <w:rsid w:val="000F6915"/>
    <w:rsid w:val="000F73B2"/>
    <w:rsid w:val="000F7E03"/>
    <w:rsid w:val="000F7E88"/>
    <w:rsid w:val="00100796"/>
    <w:rsid w:val="00101200"/>
    <w:rsid w:val="00104C5D"/>
    <w:rsid w:val="00105E98"/>
    <w:rsid w:val="00106217"/>
    <w:rsid w:val="00107D55"/>
    <w:rsid w:val="001118FD"/>
    <w:rsid w:val="00111A48"/>
    <w:rsid w:val="00116046"/>
    <w:rsid w:val="0011692B"/>
    <w:rsid w:val="00121C31"/>
    <w:rsid w:val="001236D5"/>
    <w:rsid w:val="00124E3C"/>
    <w:rsid w:val="001276EA"/>
    <w:rsid w:val="001335AC"/>
    <w:rsid w:val="0013445D"/>
    <w:rsid w:val="001401C9"/>
    <w:rsid w:val="001406EB"/>
    <w:rsid w:val="00141B3E"/>
    <w:rsid w:val="0014207F"/>
    <w:rsid w:val="0014228A"/>
    <w:rsid w:val="0014488C"/>
    <w:rsid w:val="00146D5E"/>
    <w:rsid w:val="0014756C"/>
    <w:rsid w:val="00147A08"/>
    <w:rsid w:val="001503C1"/>
    <w:rsid w:val="001510E9"/>
    <w:rsid w:val="0015435B"/>
    <w:rsid w:val="001600F4"/>
    <w:rsid w:val="001614F3"/>
    <w:rsid w:val="001619B6"/>
    <w:rsid w:val="0016440F"/>
    <w:rsid w:val="00165DF5"/>
    <w:rsid w:val="00172670"/>
    <w:rsid w:val="00174F61"/>
    <w:rsid w:val="00176D8D"/>
    <w:rsid w:val="001774A9"/>
    <w:rsid w:val="00177AB5"/>
    <w:rsid w:val="00181E1C"/>
    <w:rsid w:val="00191741"/>
    <w:rsid w:val="0019367F"/>
    <w:rsid w:val="00193C50"/>
    <w:rsid w:val="001948F3"/>
    <w:rsid w:val="00197E91"/>
    <w:rsid w:val="001A1445"/>
    <w:rsid w:val="001A1ED0"/>
    <w:rsid w:val="001A4FCD"/>
    <w:rsid w:val="001A77E0"/>
    <w:rsid w:val="001B0101"/>
    <w:rsid w:val="001B2189"/>
    <w:rsid w:val="001B3A9D"/>
    <w:rsid w:val="001B4AA8"/>
    <w:rsid w:val="001C1B45"/>
    <w:rsid w:val="001C1CEE"/>
    <w:rsid w:val="001C1FDD"/>
    <w:rsid w:val="001C6652"/>
    <w:rsid w:val="001C66E5"/>
    <w:rsid w:val="001C694E"/>
    <w:rsid w:val="001C70C9"/>
    <w:rsid w:val="001D03A3"/>
    <w:rsid w:val="001D0752"/>
    <w:rsid w:val="001D0CA6"/>
    <w:rsid w:val="001D0D84"/>
    <w:rsid w:val="001D0E11"/>
    <w:rsid w:val="001D5FD1"/>
    <w:rsid w:val="001D7C15"/>
    <w:rsid w:val="001E1FF4"/>
    <w:rsid w:val="001E31EA"/>
    <w:rsid w:val="001E78EF"/>
    <w:rsid w:val="001EA30F"/>
    <w:rsid w:val="001F0A3C"/>
    <w:rsid w:val="001F0ADC"/>
    <w:rsid w:val="001F15E1"/>
    <w:rsid w:val="001F239B"/>
    <w:rsid w:val="001F298A"/>
    <w:rsid w:val="001F3CBA"/>
    <w:rsid w:val="001F427C"/>
    <w:rsid w:val="001F4C5B"/>
    <w:rsid w:val="00200B3D"/>
    <w:rsid w:val="00203052"/>
    <w:rsid w:val="0020408D"/>
    <w:rsid w:val="0020470E"/>
    <w:rsid w:val="002061FE"/>
    <w:rsid w:val="00206F1B"/>
    <w:rsid w:val="00210FC8"/>
    <w:rsid w:val="002143C4"/>
    <w:rsid w:val="00217D46"/>
    <w:rsid w:val="00221307"/>
    <w:rsid w:val="002222E2"/>
    <w:rsid w:val="00222322"/>
    <w:rsid w:val="002239A5"/>
    <w:rsid w:val="00223FFA"/>
    <w:rsid w:val="00225491"/>
    <w:rsid w:val="00227B27"/>
    <w:rsid w:val="002301BF"/>
    <w:rsid w:val="0023112C"/>
    <w:rsid w:val="00231182"/>
    <w:rsid w:val="00231A23"/>
    <w:rsid w:val="00232F23"/>
    <w:rsid w:val="00233489"/>
    <w:rsid w:val="002362A2"/>
    <w:rsid w:val="00236AB7"/>
    <w:rsid w:val="00241524"/>
    <w:rsid w:val="00243067"/>
    <w:rsid w:val="00244655"/>
    <w:rsid w:val="0024687B"/>
    <w:rsid w:val="002475A5"/>
    <w:rsid w:val="00250667"/>
    <w:rsid w:val="00252BDC"/>
    <w:rsid w:val="002531DA"/>
    <w:rsid w:val="002537B1"/>
    <w:rsid w:val="00257A6D"/>
    <w:rsid w:val="00261363"/>
    <w:rsid w:val="002626F7"/>
    <w:rsid w:val="002639C0"/>
    <w:rsid w:val="00265059"/>
    <w:rsid w:val="00266226"/>
    <w:rsid w:val="00266B95"/>
    <w:rsid w:val="00272A16"/>
    <w:rsid w:val="00274F19"/>
    <w:rsid w:val="00283155"/>
    <w:rsid w:val="0028361C"/>
    <w:rsid w:val="00283830"/>
    <w:rsid w:val="00285B1D"/>
    <w:rsid w:val="0028748D"/>
    <w:rsid w:val="00290004"/>
    <w:rsid w:val="00291989"/>
    <w:rsid w:val="00291D60"/>
    <w:rsid w:val="00293188"/>
    <w:rsid w:val="002956A9"/>
    <w:rsid w:val="002A1E63"/>
    <w:rsid w:val="002A3F65"/>
    <w:rsid w:val="002A4C79"/>
    <w:rsid w:val="002A551A"/>
    <w:rsid w:val="002A6061"/>
    <w:rsid w:val="002B36C4"/>
    <w:rsid w:val="002B42E8"/>
    <w:rsid w:val="002B6918"/>
    <w:rsid w:val="002B6D9E"/>
    <w:rsid w:val="002C1079"/>
    <w:rsid w:val="002C1E6C"/>
    <w:rsid w:val="002C2040"/>
    <w:rsid w:val="002C418C"/>
    <w:rsid w:val="002C6F58"/>
    <w:rsid w:val="002D2306"/>
    <w:rsid w:val="002D2D9C"/>
    <w:rsid w:val="002D3EF3"/>
    <w:rsid w:val="002E23FB"/>
    <w:rsid w:val="002E57D4"/>
    <w:rsid w:val="002E6F7D"/>
    <w:rsid w:val="002E78E6"/>
    <w:rsid w:val="002F4FD6"/>
    <w:rsid w:val="002F5E62"/>
    <w:rsid w:val="002F6A3A"/>
    <w:rsid w:val="002F6F98"/>
    <w:rsid w:val="002F7E48"/>
    <w:rsid w:val="0030111E"/>
    <w:rsid w:val="00305AE9"/>
    <w:rsid w:val="003069CF"/>
    <w:rsid w:val="00312240"/>
    <w:rsid w:val="00312CFD"/>
    <w:rsid w:val="00314DFC"/>
    <w:rsid w:val="0031531A"/>
    <w:rsid w:val="00315EFA"/>
    <w:rsid w:val="00327530"/>
    <w:rsid w:val="0033439E"/>
    <w:rsid w:val="0033669A"/>
    <w:rsid w:val="00337F57"/>
    <w:rsid w:val="003410AB"/>
    <w:rsid w:val="00343813"/>
    <w:rsid w:val="0034579C"/>
    <w:rsid w:val="00346A5E"/>
    <w:rsid w:val="003475FE"/>
    <w:rsid w:val="003504E4"/>
    <w:rsid w:val="00350BD5"/>
    <w:rsid w:val="00350DDF"/>
    <w:rsid w:val="003532D6"/>
    <w:rsid w:val="00353B6A"/>
    <w:rsid w:val="00353EDF"/>
    <w:rsid w:val="003553EB"/>
    <w:rsid w:val="00355612"/>
    <w:rsid w:val="00356ACF"/>
    <w:rsid w:val="00356FEC"/>
    <w:rsid w:val="0035761B"/>
    <w:rsid w:val="003603FF"/>
    <w:rsid w:val="00362AAC"/>
    <w:rsid w:val="00365A6A"/>
    <w:rsid w:val="00366808"/>
    <w:rsid w:val="00370CA0"/>
    <w:rsid w:val="00371D92"/>
    <w:rsid w:val="00371F94"/>
    <w:rsid w:val="00375D1C"/>
    <w:rsid w:val="00376BDC"/>
    <w:rsid w:val="003772E9"/>
    <w:rsid w:val="003804AF"/>
    <w:rsid w:val="0038298C"/>
    <w:rsid w:val="0038320F"/>
    <w:rsid w:val="00383781"/>
    <w:rsid w:val="00384227"/>
    <w:rsid w:val="00387C20"/>
    <w:rsid w:val="00390291"/>
    <w:rsid w:val="00395E26"/>
    <w:rsid w:val="003978BF"/>
    <w:rsid w:val="003A068B"/>
    <w:rsid w:val="003A2FB6"/>
    <w:rsid w:val="003A3DFF"/>
    <w:rsid w:val="003A3E9E"/>
    <w:rsid w:val="003A4527"/>
    <w:rsid w:val="003A554E"/>
    <w:rsid w:val="003A5BE5"/>
    <w:rsid w:val="003A68AA"/>
    <w:rsid w:val="003A7429"/>
    <w:rsid w:val="003B0851"/>
    <w:rsid w:val="003B3166"/>
    <w:rsid w:val="003B3744"/>
    <w:rsid w:val="003B3884"/>
    <w:rsid w:val="003B6AAA"/>
    <w:rsid w:val="003C0454"/>
    <w:rsid w:val="003C13A7"/>
    <w:rsid w:val="003C311C"/>
    <w:rsid w:val="003C4090"/>
    <w:rsid w:val="003C670A"/>
    <w:rsid w:val="003C7099"/>
    <w:rsid w:val="003D06B9"/>
    <w:rsid w:val="003D380D"/>
    <w:rsid w:val="003D6E59"/>
    <w:rsid w:val="003E57C1"/>
    <w:rsid w:val="003F0175"/>
    <w:rsid w:val="003F0D47"/>
    <w:rsid w:val="003F2BD6"/>
    <w:rsid w:val="003F3A0A"/>
    <w:rsid w:val="003F7024"/>
    <w:rsid w:val="004004A4"/>
    <w:rsid w:val="00401875"/>
    <w:rsid w:val="004026A0"/>
    <w:rsid w:val="00405026"/>
    <w:rsid w:val="004072AD"/>
    <w:rsid w:val="00410C11"/>
    <w:rsid w:val="00411621"/>
    <w:rsid w:val="00411FC1"/>
    <w:rsid w:val="00414A4F"/>
    <w:rsid w:val="00415F0F"/>
    <w:rsid w:val="004169BF"/>
    <w:rsid w:val="00420E38"/>
    <w:rsid w:val="00424EE7"/>
    <w:rsid w:val="00425897"/>
    <w:rsid w:val="004264C4"/>
    <w:rsid w:val="00427C35"/>
    <w:rsid w:val="00433789"/>
    <w:rsid w:val="00434776"/>
    <w:rsid w:val="00437710"/>
    <w:rsid w:val="00440068"/>
    <w:rsid w:val="0044094F"/>
    <w:rsid w:val="00441376"/>
    <w:rsid w:val="004417E8"/>
    <w:rsid w:val="00441E35"/>
    <w:rsid w:val="00451124"/>
    <w:rsid w:val="00452F62"/>
    <w:rsid w:val="004561B9"/>
    <w:rsid w:val="00456F46"/>
    <w:rsid w:val="00461506"/>
    <w:rsid w:val="00461E31"/>
    <w:rsid w:val="00462764"/>
    <w:rsid w:val="004666A2"/>
    <w:rsid w:val="0047146E"/>
    <w:rsid w:val="00471886"/>
    <w:rsid w:val="004720E6"/>
    <w:rsid w:val="00472AD5"/>
    <w:rsid w:val="00475619"/>
    <w:rsid w:val="0048133D"/>
    <w:rsid w:val="004831AC"/>
    <w:rsid w:val="00486C0B"/>
    <w:rsid w:val="0049062E"/>
    <w:rsid w:val="004A0F7A"/>
    <w:rsid w:val="004A60E3"/>
    <w:rsid w:val="004A732F"/>
    <w:rsid w:val="004A7A6B"/>
    <w:rsid w:val="004B1F9D"/>
    <w:rsid w:val="004B2674"/>
    <w:rsid w:val="004B4BD9"/>
    <w:rsid w:val="004B5A0A"/>
    <w:rsid w:val="004B60A8"/>
    <w:rsid w:val="004B7E8D"/>
    <w:rsid w:val="004C141C"/>
    <w:rsid w:val="004C1FD5"/>
    <w:rsid w:val="004C2325"/>
    <w:rsid w:val="004C7496"/>
    <w:rsid w:val="004D2702"/>
    <w:rsid w:val="004D2750"/>
    <w:rsid w:val="004D32FB"/>
    <w:rsid w:val="004D6B0E"/>
    <w:rsid w:val="004D710B"/>
    <w:rsid w:val="004D726A"/>
    <w:rsid w:val="004E0C82"/>
    <w:rsid w:val="004E3864"/>
    <w:rsid w:val="004E6157"/>
    <w:rsid w:val="004E76BD"/>
    <w:rsid w:val="004E7B4F"/>
    <w:rsid w:val="004F368C"/>
    <w:rsid w:val="004F75F6"/>
    <w:rsid w:val="004F7E49"/>
    <w:rsid w:val="004F7FDF"/>
    <w:rsid w:val="00501F19"/>
    <w:rsid w:val="00506859"/>
    <w:rsid w:val="00506DC9"/>
    <w:rsid w:val="005075B1"/>
    <w:rsid w:val="0050770A"/>
    <w:rsid w:val="00514450"/>
    <w:rsid w:val="0051591A"/>
    <w:rsid w:val="0052090C"/>
    <w:rsid w:val="00521B02"/>
    <w:rsid w:val="00523550"/>
    <w:rsid w:val="00524393"/>
    <w:rsid w:val="00527924"/>
    <w:rsid w:val="0053392D"/>
    <w:rsid w:val="00535B0F"/>
    <w:rsid w:val="005369EA"/>
    <w:rsid w:val="00542CBE"/>
    <w:rsid w:val="00545298"/>
    <w:rsid w:val="005459BF"/>
    <w:rsid w:val="005519EF"/>
    <w:rsid w:val="0055314B"/>
    <w:rsid w:val="005535BA"/>
    <w:rsid w:val="00553F2D"/>
    <w:rsid w:val="005548A2"/>
    <w:rsid w:val="00554CED"/>
    <w:rsid w:val="0055555B"/>
    <w:rsid w:val="005559C6"/>
    <w:rsid w:val="00556E12"/>
    <w:rsid w:val="005605ED"/>
    <w:rsid w:val="00565272"/>
    <w:rsid w:val="00565C43"/>
    <w:rsid w:val="00565C46"/>
    <w:rsid w:val="00565F52"/>
    <w:rsid w:val="00566C7D"/>
    <w:rsid w:val="00566DE2"/>
    <w:rsid w:val="005702AA"/>
    <w:rsid w:val="00570C8F"/>
    <w:rsid w:val="00574F18"/>
    <w:rsid w:val="00576A5D"/>
    <w:rsid w:val="00580FFF"/>
    <w:rsid w:val="00581053"/>
    <w:rsid w:val="0058334A"/>
    <w:rsid w:val="005833A0"/>
    <w:rsid w:val="0058545D"/>
    <w:rsid w:val="00587C91"/>
    <w:rsid w:val="00592794"/>
    <w:rsid w:val="00593142"/>
    <w:rsid w:val="00593955"/>
    <w:rsid w:val="00594364"/>
    <w:rsid w:val="00595812"/>
    <w:rsid w:val="0059750A"/>
    <w:rsid w:val="005A05E7"/>
    <w:rsid w:val="005A0BB9"/>
    <w:rsid w:val="005A326B"/>
    <w:rsid w:val="005A3570"/>
    <w:rsid w:val="005A3D32"/>
    <w:rsid w:val="005A610D"/>
    <w:rsid w:val="005A7250"/>
    <w:rsid w:val="005B1D24"/>
    <w:rsid w:val="005B1D49"/>
    <w:rsid w:val="005B2E17"/>
    <w:rsid w:val="005C0FC9"/>
    <w:rsid w:val="005C125A"/>
    <w:rsid w:val="005C227F"/>
    <w:rsid w:val="005C3B93"/>
    <w:rsid w:val="005D0338"/>
    <w:rsid w:val="005D11DD"/>
    <w:rsid w:val="005D421A"/>
    <w:rsid w:val="005D43AB"/>
    <w:rsid w:val="005D4672"/>
    <w:rsid w:val="005D61AC"/>
    <w:rsid w:val="005D768A"/>
    <w:rsid w:val="005E1B8B"/>
    <w:rsid w:val="005E54EB"/>
    <w:rsid w:val="005E5739"/>
    <w:rsid w:val="005E6658"/>
    <w:rsid w:val="005F077A"/>
    <w:rsid w:val="005F5CAC"/>
    <w:rsid w:val="005F65CE"/>
    <w:rsid w:val="005F74D2"/>
    <w:rsid w:val="005F7A57"/>
    <w:rsid w:val="00601805"/>
    <w:rsid w:val="00603485"/>
    <w:rsid w:val="006045C5"/>
    <w:rsid w:val="0060509C"/>
    <w:rsid w:val="00605EDD"/>
    <w:rsid w:val="00606DC7"/>
    <w:rsid w:val="00611473"/>
    <w:rsid w:val="00611FCE"/>
    <w:rsid w:val="006128EE"/>
    <w:rsid w:val="00613465"/>
    <w:rsid w:val="00613A62"/>
    <w:rsid w:val="006155D0"/>
    <w:rsid w:val="00617135"/>
    <w:rsid w:val="0062237C"/>
    <w:rsid w:val="00624B14"/>
    <w:rsid w:val="00624CD1"/>
    <w:rsid w:val="00625CCF"/>
    <w:rsid w:val="006301E8"/>
    <w:rsid w:val="006354A3"/>
    <w:rsid w:val="0063663C"/>
    <w:rsid w:val="00636D58"/>
    <w:rsid w:val="00636ECF"/>
    <w:rsid w:val="00637855"/>
    <w:rsid w:val="006422B3"/>
    <w:rsid w:val="0064253A"/>
    <w:rsid w:val="00642A05"/>
    <w:rsid w:val="00647115"/>
    <w:rsid w:val="00650039"/>
    <w:rsid w:val="00651A91"/>
    <w:rsid w:val="00651F41"/>
    <w:rsid w:val="00652680"/>
    <w:rsid w:val="006532C5"/>
    <w:rsid w:val="00653A81"/>
    <w:rsid w:val="00657516"/>
    <w:rsid w:val="006633BE"/>
    <w:rsid w:val="00663CB7"/>
    <w:rsid w:val="00663F06"/>
    <w:rsid w:val="00666E1E"/>
    <w:rsid w:val="00670CFE"/>
    <w:rsid w:val="0067101C"/>
    <w:rsid w:val="00671215"/>
    <w:rsid w:val="006719BA"/>
    <w:rsid w:val="00671BF9"/>
    <w:rsid w:val="00671C3E"/>
    <w:rsid w:val="00671C6D"/>
    <w:rsid w:val="00671E7A"/>
    <w:rsid w:val="00673B0E"/>
    <w:rsid w:val="00673EA0"/>
    <w:rsid w:val="00675268"/>
    <w:rsid w:val="00683450"/>
    <w:rsid w:val="006835EF"/>
    <w:rsid w:val="00684B93"/>
    <w:rsid w:val="00686AAC"/>
    <w:rsid w:val="00686D1F"/>
    <w:rsid w:val="006872D6"/>
    <w:rsid w:val="00692EA0"/>
    <w:rsid w:val="00692F8E"/>
    <w:rsid w:val="006949B6"/>
    <w:rsid w:val="0069562E"/>
    <w:rsid w:val="00696111"/>
    <w:rsid w:val="00696730"/>
    <w:rsid w:val="00696D79"/>
    <w:rsid w:val="006A00EE"/>
    <w:rsid w:val="006A05F1"/>
    <w:rsid w:val="006A1481"/>
    <w:rsid w:val="006A2FAD"/>
    <w:rsid w:val="006B0679"/>
    <w:rsid w:val="006B129D"/>
    <w:rsid w:val="006B3183"/>
    <w:rsid w:val="006C3876"/>
    <w:rsid w:val="006C5B18"/>
    <w:rsid w:val="006C6C30"/>
    <w:rsid w:val="006C6FBD"/>
    <w:rsid w:val="006C7B8A"/>
    <w:rsid w:val="006D07C0"/>
    <w:rsid w:val="006D1362"/>
    <w:rsid w:val="006D1FA9"/>
    <w:rsid w:val="006D3A42"/>
    <w:rsid w:val="006D5604"/>
    <w:rsid w:val="006D5E8E"/>
    <w:rsid w:val="006D6190"/>
    <w:rsid w:val="006D62BA"/>
    <w:rsid w:val="006E02C2"/>
    <w:rsid w:val="006E14F9"/>
    <w:rsid w:val="006E18D0"/>
    <w:rsid w:val="006E2435"/>
    <w:rsid w:val="006E37C7"/>
    <w:rsid w:val="006E4EBF"/>
    <w:rsid w:val="006E5C04"/>
    <w:rsid w:val="006E6305"/>
    <w:rsid w:val="006E754C"/>
    <w:rsid w:val="006F0E77"/>
    <w:rsid w:val="006F2123"/>
    <w:rsid w:val="006F69AD"/>
    <w:rsid w:val="00700A71"/>
    <w:rsid w:val="00701DE9"/>
    <w:rsid w:val="00701EB4"/>
    <w:rsid w:val="00702F78"/>
    <w:rsid w:val="00706106"/>
    <w:rsid w:val="007066B7"/>
    <w:rsid w:val="007144E1"/>
    <w:rsid w:val="00714F0D"/>
    <w:rsid w:val="00715B7C"/>
    <w:rsid w:val="007166DA"/>
    <w:rsid w:val="00717A87"/>
    <w:rsid w:val="00721328"/>
    <w:rsid w:val="007226D6"/>
    <w:rsid w:val="007244A4"/>
    <w:rsid w:val="007274FC"/>
    <w:rsid w:val="00730037"/>
    <w:rsid w:val="0073063C"/>
    <w:rsid w:val="00732887"/>
    <w:rsid w:val="0073322B"/>
    <w:rsid w:val="00733E8B"/>
    <w:rsid w:val="00734093"/>
    <w:rsid w:val="00740D3A"/>
    <w:rsid w:val="007425E0"/>
    <w:rsid w:val="007474DA"/>
    <w:rsid w:val="00751F2F"/>
    <w:rsid w:val="007524CD"/>
    <w:rsid w:val="00753F90"/>
    <w:rsid w:val="00754039"/>
    <w:rsid w:val="00755447"/>
    <w:rsid w:val="007608B4"/>
    <w:rsid w:val="00760BE4"/>
    <w:rsid w:val="007611A9"/>
    <w:rsid w:val="007615A1"/>
    <w:rsid w:val="00771A64"/>
    <w:rsid w:val="00772119"/>
    <w:rsid w:val="00775CF1"/>
    <w:rsid w:val="00777B9C"/>
    <w:rsid w:val="00780E4F"/>
    <w:rsid w:val="007815ED"/>
    <w:rsid w:val="007816FB"/>
    <w:rsid w:val="00781B08"/>
    <w:rsid w:val="00781D72"/>
    <w:rsid w:val="00783DCB"/>
    <w:rsid w:val="00790346"/>
    <w:rsid w:val="00790F63"/>
    <w:rsid w:val="00791274"/>
    <w:rsid w:val="007923AA"/>
    <w:rsid w:val="0079568C"/>
    <w:rsid w:val="00795C55"/>
    <w:rsid w:val="007A00C3"/>
    <w:rsid w:val="007A3ADA"/>
    <w:rsid w:val="007A5396"/>
    <w:rsid w:val="007B0E1E"/>
    <w:rsid w:val="007B243B"/>
    <w:rsid w:val="007B29AB"/>
    <w:rsid w:val="007B2A30"/>
    <w:rsid w:val="007B2F8C"/>
    <w:rsid w:val="007B3D50"/>
    <w:rsid w:val="007B72FE"/>
    <w:rsid w:val="007B79D1"/>
    <w:rsid w:val="007B7BAC"/>
    <w:rsid w:val="007C128F"/>
    <w:rsid w:val="007C35C3"/>
    <w:rsid w:val="007C3BFB"/>
    <w:rsid w:val="007C4B67"/>
    <w:rsid w:val="007C565B"/>
    <w:rsid w:val="007C67D4"/>
    <w:rsid w:val="007C6CB6"/>
    <w:rsid w:val="007C73E6"/>
    <w:rsid w:val="007D2FA9"/>
    <w:rsid w:val="007D5F62"/>
    <w:rsid w:val="007D7A97"/>
    <w:rsid w:val="007E02A3"/>
    <w:rsid w:val="007E0C4A"/>
    <w:rsid w:val="007E0E35"/>
    <w:rsid w:val="007E1F76"/>
    <w:rsid w:val="007E2A94"/>
    <w:rsid w:val="007E5E86"/>
    <w:rsid w:val="007E78B0"/>
    <w:rsid w:val="007F2D0C"/>
    <w:rsid w:val="007F44F6"/>
    <w:rsid w:val="007F4C9E"/>
    <w:rsid w:val="007F5A1B"/>
    <w:rsid w:val="00800779"/>
    <w:rsid w:val="00802807"/>
    <w:rsid w:val="00802D2D"/>
    <w:rsid w:val="008035F5"/>
    <w:rsid w:val="00804C76"/>
    <w:rsid w:val="00807917"/>
    <w:rsid w:val="00813176"/>
    <w:rsid w:val="0081350A"/>
    <w:rsid w:val="00821290"/>
    <w:rsid w:val="00821A56"/>
    <w:rsid w:val="0082371E"/>
    <w:rsid w:val="00824D0D"/>
    <w:rsid w:val="00825793"/>
    <w:rsid w:val="008262D2"/>
    <w:rsid w:val="008263CE"/>
    <w:rsid w:val="00827877"/>
    <w:rsid w:val="00831412"/>
    <w:rsid w:val="008315E7"/>
    <w:rsid w:val="00831FEB"/>
    <w:rsid w:val="00832124"/>
    <w:rsid w:val="00832504"/>
    <w:rsid w:val="00834F65"/>
    <w:rsid w:val="008360E2"/>
    <w:rsid w:val="00836B20"/>
    <w:rsid w:val="008407D3"/>
    <w:rsid w:val="00844C5F"/>
    <w:rsid w:val="00844C96"/>
    <w:rsid w:val="00845268"/>
    <w:rsid w:val="00846950"/>
    <w:rsid w:val="008502E8"/>
    <w:rsid w:val="00851BFB"/>
    <w:rsid w:val="008531C5"/>
    <w:rsid w:val="00853B9D"/>
    <w:rsid w:val="00856079"/>
    <w:rsid w:val="00856553"/>
    <w:rsid w:val="00857B0B"/>
    <w:rsid w:val="008605BD"/>
    <w:rsid w:val="00862D1E"/>
    <w:rsid w:val="00863072"/>
    <w:rsid w:val="00865B52"/>
    <w:rsid w:val="008672D7"/>
    <w:rsid w:val="00867F37"/>
    <w:rsid w:val="008713CB"/>
    <w:rsid w:val="008718BF"/>
    <w:rsid w:val="00871DE8"/>
    <w:rsid w:val="00872662"/>
    <w:rsid w:val="00873A30"/>
    <w:rsid w:val="00873A43"/>
    <w:rsid w:val="008765DF"/>
    <w:rsid w:val="00876666"/>
    <w:rsid w:val="0087728D"/>
    <w:rsid w:val="00880D78"/>
    <w:rsid w:val="00881A39"/>
    <w:rsid w:val="00883799"/>
    <w:rsid w:val="0088389F"/>
    <w:rsid w:val="008865FB"/>
    <w:rsid w:val="00887EED"/>
    <w:rsid w:val="008902AC"/>
    <w:rsid w:val="00890454"/>
    <w:rsid w:val="00895369"/>
    <w:rsid w:val="00896149"/>
    <w:rsid w:val="0089682A"/>
    <w:rsid w:val="008968E8"/>
    <w:rsid w:val="008A1896"/>
    <w:rsid w:val="008A3033"/>
    <w:rsid w:val="008A3B46"/>
    <w:rsid w:val="008A6388"/>
    <w:rsid w:val="008B496A"/>
    <w:rsid w:val="008B6462"/>
    <w:rsid w:val="008B6BF3"/>
    <w:rsid w:val="008B7F13"/>
    <w:rsid w:val="008C452D"/>
    <w:rsid w:val="008C70BD"/>
    <w:rsid w:val="008C76FE"/>
    <w:rsid w:val="008D05C9"/>
    <w:rsid w:val="008D18F1"/>
    <w:rsid w:val="008D4A3F"/>
    <w:rsid w:val="008D63F6"/>
    <w:rsid w:val="008E1A60"/>
    <w:rsid w:val="008E1D15"/>
    <w:rsid w:val="008E68D0"/>
    <w:rsid w:val="008E795F"/>
    <w:rsid w:val="008F278B"/>
    <w:rsid w:val="008F3A66"/>
    <w:rsid w:val="008F417D"/>
    <w:rsid w:val="008F5049"/>
    <w:rsid w:val="008F5CD6"/>
    <w:rsid w:val="008F5D23"/>
    <w:rsid w:val="008F5F8C"/>
    <w:rsid w:val="008F6DF2"/>
    <w:rsid w:val="008F705D"/>
    <w:rsid w:val="00900406"/>
    <w:rsid w:val="00900F03"/>
    <w:rsid w:val="009051F6"/>
    <w:rsid w:val="00911B86"/>
    <w:rsid w:val="009129D7"/>
    <w:rsid w:val="009145CB"/>
    <w:rsid w:val="00915BAA"/>
    <w:rsid w:val="00916228"/>
    <w:rsid w:val="0092154E"/>
    <w:rsid w:val="00922FC8"/>
    <w:rsid w:val="00924035"/>
    <w:rsid w:val="00924AFC"/>
    <w:rsid w:val="009251D0"/>
    <w:rsid w:val="00930E3D"/>
    <w:rsid w:val="0093333B"/>
    <w:rsid w:val="00933CE7"/>
    <w:rsid w:val="009360FA"/>
    <w:rsid w:val="00940215"/>
    <w:rsid w:val="00940F90"/>
    <w:rsid w:val="009416A0"/>
    <w:rsid w:val="009464FB"/>
    <w:rsid w:val="00946D21"/>
    <w:rsid w:val="0094765E"/>
    <w:rsid w:val="00950B7E"/>
    <w:rsid w:val="00951DB1"/>
    <w:rsid w:val="00952CD3"/>
    <w:rsid w:val="00952EBA"/>
    <w:rsid w:val="00954BB9"/>
    <w:rsid w:val="00955175"/>
    <w:rsid w:val="009566B1"/>
    <w:rsid w:val="009572F4"/>
    <w:rsid w:val="0096109F"/>
    <w:rsid w:val="0096515E"/>
    <w:rsid w:val="00965811"/>
    <w:rsid w:val="009659F5"/>
    <w:rsid w:val="00966383"/>
    <w:rsid w:val="009709C3"/>
    <w:rsid w:val="00971931"/>
    <w:rsid w:val="00973AE9"/>
    <w:rsid w:val="00975A1F"/>
    <w:rsid w:val="009760F3"/>
    <w:rsid w:val="00977790"/>
    <w:rsid w:val="00981DF0"/>
    <w:rsid w:val="00982CBB"/>
    <w:rsid w:val="00986F1E"/>
    <w:rsid w:val="00995CF3"/>
    <w:rsid w:val="00995D65"/>
    <w:rsid w:val="00996341"/>
    <w:rsid w:val="009964CF"/>
    <w:rsid w:val="00997AF4"/>
    <w:rsid w:val="009A073F"/>
    <w:rsid w:val="009A0EF3"/>
    <w:rsid w:val="009A2821"/>
    <w:rsid w:val="009A6780"/>
    <w:rsid w:val="009A71F1"/>
    <w:rsid w:val="009A7947"/>
    <w:rsid w:val="009B26B6"/>
    <w:rsid w:val="009B3209"/>
    <w:rsid w:val="009B4EC5"/>
    <w:rsid w:val="009B5B16"/>
    <w:rsid w:val="009B6940"/>
    <w:rsid w:val="009B7EDB"/>
    <w:rsid w:val="009C0C39"/>
    <w:rsid w:val="009C0F81"/>
    <w:rsid w:val="009C245C"/>
    <w:rsid w:val="009C4A8C"/>
    <w:rsid w:val="009C51EA"/>
    <w:rsid w:val="009C5D3D"/>
    <w:rsid w:val="009D0078"/>
    <w:rsid w:val="009D0DBB"/>
    <w:rsid w:val="009D23DC"/>
    <w:rsid w:val="009D548A"/>
    <w:rsid w:val="009D6B4E"/>
    <w:rsid w:val="009E373D"/>
    <w:rsid w:val="009F02F0"/>
    <w:rsid w:val="009F2B3D"/>
    <w:rsid w:val="009F3BF5"/>
    <w:rsid w:val="009F3F83"/>
    <w:rsid w:val="00A0041E"/>
    <w:rsid w:val="00A02A46"/>
    <w:rsid w:val="00A04B79"/>
    <w:rsid w:val="00A05246"/>
    <w:rsid w:val="00A05320"/>
    <w:rsid w:val="00A067EF"/>
    <w:rsid w:val="00A068EB"/>
    <w:rsid w:val="00A1011D"/>
    <w:rsid w:val="00A10526"/>
    <w:rsid w:val="00A107AA"/>
    <w:rsid w:val="00A10B1A"/>
    <w:rsid w:val="00A11967"/>
    <w:rsid w:val="00A14C0F"/>
    <w:rsid w:val="00A16915"/>
    <w:rsid w:val="00A179D8"/>
    <w:rsid w:val="00A21855"/>
    <w:rsid w:val="00A23166"/>
    <w:rsid w:val="00A23A2B"/>
    <w:rsid w:val="00A23D26"/>
    <w:rsid w:val="00A24729"/>
    <w:rsid w:val="00A24DAC"/>
    <w:rsid w:val="00A2774E"/>
    <w:rsid w:val="00A27AA3"/>
    <w:rsid w:val="00A308ED"/>
    <w:rsid w:val="00A342F9"/>
    <w:rsid w:val="00A41C04"/>
    <w:rsid w:val="00A445C1"/>
    <w:rsid w:val="00A47BFF"/>
    <w:rsid w:val="00A51936"/>
    <w:rsid w:val="00A51AD1"/>
    <w:rsid w:val="00A57AED"/>
    <w:rsid w:val="00A57C16"/>
    <w:rsid w:val="00A616C9"/>
    <w:rsid w:val="00A65662"/>
    <w:rsid w:val="00A70CB9"/>
    <w:rsid w:val="00A7469F"/>
    <w:rsid w:val="00A75344"/>
    <w:rsid w:val="00A7595A"/>
    <w:rsid w:val="00A75FA6"/>
    <w:rsid w:val="00A7632F"/>
    <w:rsid w:val="00A771E6"/>
    <w:rsid w:val="00A802A0"/>
    <w:rsid w:val="00A81412"/>
    <w:rsid w:val="00A84446"/>
    <w:rsid w:val="00A84B17"/>
    <w:rsid w:val="00A87684"/>
    <w:rsid w:val="00A91739"/>
    <w:rsid w:val="00A9651D"/>
    <w:rsid w:val="00A975F8"/>
    <w:rsid w:val="00AA23E9"/>
    <w:rsid w:val="00AA2F13"/>
    <w:rsid w:val="00AA675F"/>
    <w:rsid w:val="00AA6EAF"/>
    <w:rsid w:val="00AA6FDE"/>
    <w:rsid w:val="00AB3B97"/>
    <w:rsid w:val="00AB444B"/>
    <w:rsid w:val="00AC1CA5"/>
    <w:rsid w:val="00AC7F4D"/>
    <w:rsid w:val="00AD2DBA"/>
    <w:rsid w:val="00AD41F7"/>
    <w:rsid w:val="00AD436D"/>
    <w:rsid w:val="00AD61FF"/>
    <w:rsid w:val="00AE06A2"/>
    <w:rsid w:val="00AE0E15"/>
    <w:rsid w:val="00AE106F"/>
    <w:rsid w:val="00AE10B6"/>
    <w:rsid w:val="00AE1560"/>
    <w:rsid w:val="00AE1EE3"/>
    <w:rsid w:val="00AE265B"/>
    <w:rsid w:val="00AE2C89"/>
    <w:rsid w:val="00AE42FE"/>
    <w:rsid w:val="00AE46C7"/>
    <w:rsid w:val="00AE4994"/>
    <w:rsid w:val="00AE53D5"/>
    <w:rsid w:val="00AF10B0"/>
    <w:rsid w:val="00AF3BA0"/>
    <w:rsid w:val="00AF40F1"/>
    <w:rsid w:val="00AF4487"/>
    <w:rsid w:val="00AF4ED5"/>
    <w:rsid w:val="00AF509E"/>
    <w:rsid w:val="00AF531C"/>
    <w:rsid w:val="00AF59E2"/>
    <w:rsid w:val="00AF5C5D"/>
    <w:rsid w:val="00AF5D15"/>
    <w:rsid w:val="00AF63DF"/>
    <w:rsid w:val="00AF796B"/>
    <w:rsid w:val="00B00BA3"/>
    <w:rsid w:val="00B01A4F"/>
    <w:rsid w:val="00B066F3"/>
    <w:rsid w:val="00B10457"/>
    <w:rsid w:val="00B10EC4"/>
    <w:rsid w:val="00B123C8"/>
    <w:rsid w:val="00B15056"/>
    <w:rsid w:val="00B16175"/>
    <w:rsid w:val="00B20FED"/>
    <w:rsid w:val="00B21C6D"/>
    <w:rsid w:val="00B22D3A"/>
    <w:rsid w:val="00B23540"/>
    <w:rsid w:val="00B24B16"/>
    <w:rsid w:val="00B25A0E"/>
    <w:rsid w:val="00B25E83"/>
    <w:rsid w:val="00B26078"/>
    <w:rsid w:val="00B31832"/>
    <w:rsid w:val="00B31A03"/>
    <w:rsid w:val="00B33228"/>
    <w:rsid w:val="00B35BDB"/>
    <w:rsid w:val="00B364DD"/>
    <w:rsid w:val="00B36C68"/>
    <w:rsid w:val="00B37D5C"/>
    <w:rsid w:val="00B40E53"/>
    <w:rsid w:val="00B41D71"/>
    <w:rsid w:val="00B42047"/>
    <w:rsid w:val="00B4211F"/>
    <w:rsid w:val="00B4303D"/>
    <w:rsid w:val="00B44901"/>
    <w:rsid w:val="00B45E77"/>
    <w:rsid w:val="00B5062A"/>
    <w:rsid w:val="00B50FF8"/>
    <w:rsid w:val="00B5141D"/>
    <w:rsid w:val="00B5153F"/>
    <w:rsid w:val="00B521D4"/>
    <w:rsid w:val="00B57822"/>
    <w:rsid w:val="00B671DF"/>
    <w:rsid w:val="00B711A9"/>
    <w:rsid w:val="00B736CC"/>
    <w:rsid w:val="00B745CA"/>
    <w:rsid w:val="00B751CE"/>
    <w:rsid w:val="00B7527A"/>
    <w:rsid w:val="00B767D1"/>
    <w:rsid w:val="00B77930"/>
    <w:rsid w:val="00B779BF"/>
    <w:rsid w:val="00B8344F"/>
    <w:rsid w:val="00B85561"/>
    <w:rsid w:val="00B85C7F"/>
    <w:rsid w:val="00B90417"/>
    <w:rsid w:val="00B90764"/>
    <w:rsid w:val="00B92D35"/>
    <w:rsid w:val="00B93FD6"/>
    <w:rsid w:val="00B94B8B"/>
    <w:rsid w:val="00B955EC"/>
    <w:rsid w:val="00B95617"/>
    <w:rsid w:val="00BA2892"/>
    <w:rsid w:val="00BA3BEF"/>
    <w:rsid w:val="00BA4223"/>
    <w:rsid w:val="00BA5E28"/>
    <w:rsid w:val="00BB2995"/>
    <w:rsid w:val="00BB2A74"/>
    <w:rsid w:val="00BB3775"/>
    <w:rsid w:val="00BB3A94"/>
    <w:rsid w:val="00BB431D"/>
    <w:rsid w:val="00BB60C7"/>
    <w:rsid w:val="00BB641B"/>
    <w:rsid w:val="00BC12C8"/>
    <w:rsid w:val="00BC3EA0"/>
    <w:rsid w:val="00BC7122"/>
    <w:rsid w:val="00BC75C3"/>
    <w:rsid w:val="00BD20FF"/>
    <w:rsid w:val="00BD247C"/>
    <w:rsid w:val="00BD27C7"/>
    <w:rsid w:val="00BD2E8B"/>
    <w:rsid w:val="00BD3854"/>
    <w:rsid w:val="00BD3A0A"/>
    <w:rsid w:val="00BD3B6F"/>
    <w:rsid w:val="00BD5324"/>
    <w:rsid w:val="00BD67B1"/>
    <w:rsid w:val="00BE0E5C"/>
    <w:rsid w:val="00BE0FFD"/>
    <w:rsid w:val="00BE1CE6"/>
    <w:rsid w:val="00BE2404"/>
    <w:rsid w:val="00BE2AED"/>
    <w:rsid w:val="00BE3227"/>
    <w:rsid w:val="00BE3A18"/>
    <w:rsid w:val="00BE72A1"/>
    <w:rsid w:val="00BE7A42"/>
    <w:rsid w:val="00BF18EE"/>
    <w:rsid w:val="00BF4BEE"/>
    <w:rsid w:val="00BF7C61"/>
    <w:rsid w:val="00C030CA"/>
    <w:rsid w:val="00C03ACF"/>
    <w:rsid w:val="00C05D6D"/>
    <w:rsid w:val="00C06589"/>
    <w:rsid w:val="00C06E53"/>
    <w:rsid w:val="00C1096B"/>
    <w:rsid w:val="00C10F62"/>
    <w:rsid w:val="00C12E00"/>
    <w:rsid w:val="00C152EF"/>
    <w:rsid w:val="00C15B68"/>
    <w:rsid w:val="00C1621C"/>
    <w:rsid w:val="00C173FD"/>
    <w:rsid w:val="00C17AC6"/>
    <w:rsid w:val="00C2038F"/>
    <w:rsid w:val="00C22DB8"/>
    <w:rsid w:val="00C2346B"/>
    <w:rsid w:val="00C24881"/>
    <w:rsid w:val="00C24B14"/>
    <w:rsid w:val="00C268CF"/>
    <w:rsid w:val="00C27C97"/>
    <w:rsid w:val="00C30AC9"/>
    <w:rsid w:val="00C34B83"/>
    <w:rsid w:val="00C35FBF"/>
    <w:rsid w:val="00C37AE0"/>
    <w:rsid w:val="00C37D0C"/>
    <w:rsid w:val="00C4023A"/>
    <w:rsid w:val="00C41AE9"/>
    <w:rsid w:val="00C43B97"/>
    <w:rsid w:val="00C4657E"/>
    <w:rsid w:val="00C47FEA"/>
    <w:rsid w:val="00C51010"/>
    <w:rsid w:val="00C53AD8"/>
    <w:rsid w:val="00C55337"/>
    <w:rsid w:val="00C55D2F"/>
    <w:rsid w:val="00C60AD5"/>
    <w:rsid w:val="00C61E57"/>
    <w:rsid w:val="00C62BCA"/>
    <w:rsid w:val="00C62DF5"/>
    <w:rsid w:val="00C64D48"/>
    <w:rsid w:val="00C701ED"/>
    <w:rsid w:val="00C721DD"/>
    <w:rsid w:val="00C72503"/>
    <w:rsid w:val="00C743D2"/>
    <w:rsid w:val="00C76451"/>
    <w:rsid w:val="00C769F1"/>
    <w:rsid w:val="00C76F7C"/>
    <w:rsid w:val="00C77BC2"/>
    <w:rsid w:val="00C77C15"/>
    <w:rsid w:val="00C77C7C"/>
    <w:rsid w:val="00C825E7"/>
    <w:rsid w:val="00C826CA"/>
    <w:rsid w:val="00C85156"/>
    <w:rsid w:val="00C85CB8"/>
    <w:rsid w:val="00C8612A"/>
    <w:rsid w:val="00C9249A"/>
    <w:rsid w:val="00C9563E"/>
    <w:rsid w:val="00CA20C0"/>
    <w:rsid w:val="00CA2D04"/>
    <w:rsid w:val="00CA34C6"/>
    <w:rsid w:val="00CA39DF"/>
    <w:rsid w:val="00CA4118"/>
    <w:rsid w:val="00CA5E17"/>
    <w:rsid w:val="00CA6822"/>
    <w:rsid w:val="00CB4AFC"/>
    <w:rsid w:val="00CB7485"/>
    <w:rsid w:val="00CC1A6B"/>
    <w:rsid w:val="00CC31DF"/>
    <w:rsid w:val="00CC6A0E"/>
    <w:rsid w:val="00CD356A"/>
    <w:rsid w:val="00CD42C4"/>
    <w:rsid w:val="00CD5EE8"/>
    <w:rsid w:val="00CE2445"/>
    <w:rsid w:val="00CE4A34"/>
    <w:rsid w:val="00CE6EB3"/>
    <w:rsid w:val="00CE7604"/>
    <w:rsid w:val="00CE76B8"/>
    <w:rsid w:val="00CF57E3"/>
    <w:rsid w:val="00CF632C"/>
    <w:rsid w:val="00D036C8"/>
    <w:rsid w:val="00D052E2"/>
    <w:rsid w:val="00D063F2"/>
    <w:rsid w:val="00D1513B"/>
    <w:rsid w:val="00D157D1"/>
    <w:rsid w:val="00D20D65"/>
    <w:rsid w:val="00D20FDB"/>
    <w:rsid w:val="00D21042"/>
    <w:rsid w:val="00D22D05"/>
    <w:rsid w:val="00D234CC"/>
    <w:rsid w:val="00D23556"/>
    <w:rsid w:val="00D2557D"/>
    <w:rsid w:val="00D273E4"/>
    <w:rsid w:val="00D30566"/>
    <w:rsid w:val="00D31D98"/>
    <w:rsid w:val="00D32181"/>
    <w:rsid w:val="00D32191"/>
    <w:rsid w:val="00D32CB1"/>
    <w:rsid w:val="00D33469"/>
    <w:rsid w:val="00D35151"/>
    <w:rsid w:val="00D354B7"/>
    <w:rsid w:val="00D36718"/>
    <w:rsid w:val="00D375F1"/>
    <w:rsid w:val="00D3784C"/>
    <w:rsid w:val="00D41520"/>
    <w:rsid w:val="00D41B68"/>
    <w:rsid w:val="00D4376A"/>
    <w:rsid w:val="00D45DB5"/>
    <w:rsid w:val="00D51C34"/>
    <w:rsid w:val="00D5326B"/>
    <w:rsid w:val="00D53B5F"/>
    <w:rsid w:val="00D56006"/>
    <w:rsid w:val="00D5798A"/>
    <w:rsid w:val="00D57A4C"/>
    <w:rsid w:val="00D6165B"/>
    <w:rsid w:val="00D62DA2"/>
    <w:rsid w:val="00D6571E"/>
    <w:rsid w:val="00D66AF4"/>
    <w:rsid w:val="00D66B9B"/>
    <w:rsid w:val="00D67943"/>
    <w:rsid w:val="00D7077D"/>
    <w:rsid w:val="00D73811"/>
    <w:rsid w:val="00D76B5D"/>
    <w:rsid w:val="00D84840"/>
    <w:rsid w:val="00D84E48"/>
    <w:rsid w:val="00D86F82"/>
    <w:rsid w:val="00D9018F"/>
    <w:rsid w:val="00D93212"/>
    <w:rsid w:val="00D96767"/>
    <w:rsid w:val="00DA1661"/>
    <w:rsid w:val="00DA1C2D"/>
    <w:rsid w:val="00DA2C9E"/>
    <w:rsid w:val="00DA2CF9"/>
    <w:rsid w:val="00DA35EA"/>
    <w:rsid w:val="00DA3B37"/>
    <w:rsid w:val="00DA680C"/>
    <w:rsid w:val="00DB18EF"/>
    <w:rsid w:val="00DB1EFA"/>
    <w:rsid w:val="00DB531C"/>
    <w:rsid w:val="00DB6306"/>
    <w:rsid w:val="00DC09CE"/>
    <w:rsid w:val="00DC1BC1"/>
    <w:rsid w:val="00DC2B1F"/>
    <w:rsid w:val="00DC366D"/>
    <w:rsid w:val="00DC54B9"/>
    <w:rsid w:val="00DC6470"/>
    <w:rsid w:val="00DC71F0"/>
    <w:rsid w:val="00DD02C0"/>
    <w:rsid w:val="00DD2178"/>
    <w:rsid w:val="00DD223B"/>
    <w:rsid w:val="00DD59BA"/>
    <w:rsid w:val="00DD6FAE"/>
    <w:rsid w:val="00DD7478"/>
    <w:rsid w:val="00DE13EA"/>
    <w:rsid w:val="00DE148D"/>
    <w:rsid w:val="00DE173C"/>
    <w:rsid w:val="00DE273B"/>
    <w:rsid w:val="00DE52D9"/>
    <w:rsid w:val="00DE6717"/>
    <w:rsid w:val="00DF2044"/>
    <w:rsid w:val="00DF2084"/>
    <w:rsid w:val="00DF258A"/>
    <w:rsid w:val="00DF3F6D"/>
    <w:rsid w:val="00DF4852"/>
    <w:rsid w:val="00DF66C5"/>
    <w:rsid w:val="00DF7C4B"/>
    <w:rsid w:val="00E00637"/>
    <w:rsid w:val="00E0073F"/>
    <w:rsid w:val="00E00D57"/>
    <w:rsid w:val="00E0360E"/>
    <w:rsid w:val="00E03C94"/>
    <w:rsid w:val="00E06C2B"/>
    <w:rsid w:val="00E123B7"/>
    <w:rsid w:val="00E12FB5"/>
    <w:rsid w:val="00E13138"/>
    <w:rsid w:val="00E142C6"/>
    <w:rsid w:val="00E14915"/>
    <w:rsid w:val="00E14F2F"/>
    <w:rsid w:val="00E15811"/>
    <w:rsid w:val="00E21F44"/>
    <w:rsid w:val="00E23A80"/>
    <w:rsid w:val="00E24FB5"/>
    <w:rsid w:val="00E25269"/>
    <w:rsid w:val="00E25EB6"/>
    <w:rsid w:val="00E26E8D"/>
    <w:rsid w:val="00E304BB"/>
    <w:rsid w:val="00E311D6"/>
    <w:rsid w:val="00E32FE0"/>
    <w:rsid w:val="00E36743"/>
    <w:rsid w:val="00E42243"/>
    <w:rsid w:val="00E4366B"/>
    <w:rsid w:val="00E43A35"/>
    <w:rsid w:val="00E44F8A"/>
    <w:rsid w:val="00E463AB"/>
    <w:rsid w:val="00E46B95"/>
    <w:rsid w:val="00E51050"/>
    <w:rsid w:val="00E54737"/>
    <w:rsid w:val="00E552C9"/>
    <w:rsid w:val="00E5640F"/>
    <w:rsid w:val="00E57780"/>
    <w:rsid w:val="00E578AC"/>
    <w:rsid w:val="00E604B9"/>
    <w:rsid w:val="00E6196B"/>
    <w:rsid w:val="00E64702"/>
    <w:rsid w:val="00E64E7E"/>
    <w:rsid w:val="00E67085"/>
    <w:rsid w:val="00E67B9C"/>
    <w:rsid w:val="00E72CDB"/>
    <w:rsid w:val="00E72F90"/>
    <w:rsid w:val="00E736F3"/>
    <w:rsid w:val="00E7426F"/>
    <w:rsid w:val="00E74AF1"/>
    <w:rsid w:val="00E777BC"/>
    <w:rsid w:val="00E80AFB"/>
    <w:rsid w:val="00E81420"/>
    <w:rsid w:val="00E81A02"/>
    <w:rsid w:val="00E82C72"/>
    <w:rsid w:val="00E87231"/>
    <w:rsid w:val="00E87DC6"/>
    <w:rsid w:val="00E90390"/>
    <w:rsid w:val="00E90437"/>
    <w:rsid w:val="00E90644"/>
    <w:rsid w:val="00E93171"/>
    <w:rsid w:val="00E958AE"/>
    <w:rsid w:val="00E96380"/>
    <w:rsid w:val="00E965A1"/>
    <w:rsid w:val="00EA33F8"/>
    <w:rsid w:val="00EA451A"/>
    <w:rsid w:val="00EA67A4"/>
    <w:rsid w:val="00EA7C65"/>
    <w:rsid w:val="00EB0C8F"/>
    <w:rsid w:val="00EB1921"/>
    <w:rsid w:val="00EB4961"/>
    <w:rsid w:val="00EB606E"/>
    <w:rsid w:val="00EB6A45"/>
    <w:rsid w:val="00EB6D4A"/>
    <w:rsid w:val="00EC1D4F"/>
    <w:rsid w:val="00EC2BF7"/>
    <w:rsid w:val="00EC3DD5"/>
    <w:rsid w:val="00EC55CE"/>
    <w:rsid w:val="00EC58E0"/>
    <w:rsid w:val="00EC6EED"/>
    <w:rsid w:val="00EC71B4"/>
    <w:rsid w:val="00ED3327"/>
    <w:rsid w:val="00ED4427"/>
    <w:rsid w:val="00ED5C18"/>
    <w:rsid w:val="00ED79D9"/>
    <w:rsid w:val="00EE1D4C"/>
    <w:rsid w:val="00EE37F8"/>
    <w:rsid w:val="00EE4B77"/>
    <w:rsid w:val="00EE56CD"/>
    <w:rsid w:val="00EE59CD"/>
    <w:rsid w:val="00EE59E0"/>
    <w:rsid w:val="00EE6E02"/>
    <w:rsid w:val="00EE719B"/>
    <w:rsid w:val="00EE7B32"/>
    <w:rsid w:val="00EF053A"/>
    <w:rsid w:val="00EF0921"/>
    <w:rsid w:val="00EF25D9"/>
    <w:rsid w:val="00EF2733"/>
    <w:rsid w:val="00EF3EC6"/>
    <w:rsid w:val="00EF495F"/>
    <w:rsid w:val="00EF50BD"/>
    <w:rsid w:val="00EF54D2"/>
    <w:rsid w:val="00EF5EDF"/>
    <w:rsid w:val="00F02B1B"/>
    <w:rsid w:val="00F033C6"/>
    <w:rsid w:val="00F055CE"/>
    <w:rsid w:val="00F06479"/>
    <w:rsid w:val="00F07ED6"/>
    <w:rsid w:val="00F10741"/>
    <w:rsid w:val="00F11FFF"/>
    <w:rsid w:val="00F12288"/>
    <w:rsid w:val="00F2377F"/>
    <w:rsid w:val="00F23EB0"/>
    <w:rsid w:val="00F26A6E"/>
    <w:rsid w:val="00F31B97"/>
    <w:rsid w:val="00F31CBD"/>
    <w:rsid w:val="00F32488"/>
    <w:rsid w:val="00F32775"/>
    <w:rsid w:val="00F33EF3"/>
    <w:rsid w:val="00F3481B"/>
    <w:rsid w:val="00F34E6C"/>
    <w:rsid w:val="00F36AD0"/>
    <w:rsid w:val="00F40AF2"/>
    <w:rsid w:val="00F4138B"/>
    <w:rsid w:val="00F41C3F"/>
    <w:rsid w:val="00F42423"/>
    <w:rsid w:val="00F43681"/>
    <w:rsid w:val="00F4471D"/>
    <w:rsid w:val="00F44CE8"/>
    <w:rsid w:val="00F46C94"/>
    <w:rsid w:val="00F50E69"/>
    <w:rsid w:val="00F50F34"/>
    <w:rsid w:val="00F52B5D"/>
    <w:rsid w:val="00F60787"/>
    <w:rsid w:val="00F62C5F"/>
    <w:rsid w:val="00F6393B"/>
    <w:rsid w:val="00F65634"/>
    <w:rsid w:val="00F66AB7"/>
    <w:rsid w:val="00F66FA5"/>
    <w:rsid w:val="00F73A2B"/>
    <w:rsid w:val="00F74445"/>
    <w:rsid w:val="00F74D5A"/>
    <w:rsid w:val="00F74F6D"/>
    <w:rsid w:val="00F80D46"/>
    <w:rsid w:val="00F812C3"/>
    <w:rsid w:val="00F8339F"/>
    <w:rsid w:val="00F87028"/>
    <w:rsid w:val="00F8787B"/>
    <w:rsid w:val="00F921B8"/>
    <w:rsid w:val="00F92484"/>
    <w:rsid w:val="00F933F9"/>
    <w:rsid w:val="00F938F0"/>
    <w:rsid w:val="00F93C39"/>
    <w:rsid w:val="00F94CEF"/>
    <w:rsid w:val="00F96723"/>
    <w:rsid w:val="00FA11C1"/>
    <w:rsid w:val="00FA16B5"/>
    <w:rsid w:val="00FA290F"/>
    <w:rsid w:val="00FA2A25"/>
    <w:rsid w:val="00FA2B65"/>
    <w:rsid w:val="00FA49C1"/>
    <w:rsid w:val="00FA568C"/>
    <w:rsid w:val="00FB02DE"/>
    <w:rsid w:val="00FB17A2"/>
    <w:rsid w:val="00FB2365"/>
    <w:rsid w:val="00FB2832"/>
    <w:rsid w:val="00FB3ECA"/>
    <w:rsid w:val="00FB5543"/>
    <w:rsid w:val="00FB6063"/>
    <w:rsid w:val="00FB66D2"/>
    <w:rsid w:val="00FB7987"/>
    <w:rsid w:val="00FC0204"/>
    <w:rsid w:val="00FC06ED"/>
    <w:rsid w:val="00FC17A1"/>
    <w:rsid w:val="00FC4A2B"/>
    <w:rsid w:val="00FC4D21"/>
    <w:rsid w:val="00FC5B73"/>
    <w:rsid w:val="00FC67F4"/>
    <w:rsid w:val="00FC706B"/>
    <w:rsid w:val="00FD065B"/>
    <w:rsid w:val="00FD147B"/>
    <w:rsid w:val="00FD3EEE"/>
    <w:rsid w:val="00FD54FA"/>
    <w:rsid w:val="00FD69C6"/>
    <w:rsid w:val="00FE0361"/>
    <w:rsid w:val="00FE1F2A"/>
    <w:rsid w:val="00FE4632"/>
    <w:rsid w:val="00FE5FF2"/>
    <w:rsid w:val="00FE6BAB"/>
    <w:rsid w:val="00FE6BEB"/>
    <w:rsid w:val="00FF0035"/>
    <w:rsid w:val="00FF0A3E"/>
    <w:rsid w:val="00FF1717"/>
    <w:rsid w:val="00FF22AA"/>
    <w:rsid w:val="00FF31D1"/>
    <w:rsid w:val="0114F9BE"/>
    <w:rsid w:val="014E73D2"/>
    <w:rsid w:val="01FCB4B2"/>
    <w:rsid w:val="023DB04D"/>
    <w:rsid w:val="02653AEF"/>
    <w:rsid w:val="028008D3"/>
    <w:rsid w:val="02AA98D3"/>
    <w:rsid w:val="02B88157"/>
    <w:rsid w:val="02D50E0E"/>
    <w:rsid w:val="02F68A5C"/>
    <w:rsid w:val="02FF180A"/>
    <w:rsid w:val="033F4859"/>
    <w:rsid w:val="036D10A3"/>
    <w:rsid w:val="03B15FDF"/>
    <w:rsid w:val="03CD5D4B"/>
    <w:rsid w:val="03E0C195"/>
    <w:rsid w:val="03E9037A"/>
    <w:rsid w:val="03F62743"/>
    <w:rsid w:val="04013127"/>
    <w:rsid w:val="0449BA2C"/>
    <w:rsid w:val="04BA733B"/>
    <w:rsid w:val="04DDD1D9"/>
    <w:rsid w:val="04F21432"/>
    <w:rsid w:val="05424CBE"/>
    <w:rsid w:val="054255B1"/>
    <w:rsid w:val="0570A2D6"/>
    <w:rsid w:val="05DE38F4"/>
    <w:rsid w:val="05E9CBA7"/>
    <w:rsid w:val="060D26EA"/>
    <w:rsid w:val="062DE695"/>
    <w:rsid w:val="06818FC0"/>
    <w:rsid w:val="06A5B637"/>
    <w:rsid w:val="06ABDACB"/>
    <w:rsid w:val="06DC09C1"/>
    <w:rsid w:val="0734270E"/>
    <w:rsid w:val="0776D783"/>
    <w:rsid w:val="0870C471"/>
    <w:rsid w:val="08C0C6FA"/>
    <w:rsid w:val="08EF1AC9"/>
    <w:rsid w:val="08FBF434"/>
    <w:rsid w:val="08FF8932"/>
    <w:rsid w:val="0902BD3A"/>
    <w:rsid w:val="093E7516"/>
    <w:rsid w:val="095E72D2"/>
    <w:rsid w:val="096A3F4D"/>
    <w:rsid w:val="099405EB"/>
    <w:rsid w:val="0A16C971"/>
    <w:rsid w:val="0A3968EA"/>
    <w:rsid w:val="0B01CC63"/>
    <w:rsid w:val="0B4D135D"/>
    <w:rsid w:val="0B54A05E"/>
    <w:rsid w:val="0B704246"/>
    <w:rsid w:val="0B712D94"/>
    <w:rsid w:val="0B88A8BE"/>
    <w:rsid w:val="0BAF0F8C"/>
    <w:rsid w:val="0BEE86A6"/>
    <w:rsid w:val="0BF0CC6B"/>
    <w:rsid w:val="0C388A8F"/>
    <w:rsid w:val="0C40370A"/>
    <w:rsid w:val="0C4E9AE3"/>
    <w:rsid w:val="0CE8E3BE"/>
    <w:rsid w:val="0CFC83FF"/>
    <w:rsid w:val="0D74685D"/>
    <w:rsid w:val="0DEA6B44"/>
    <w:rsid w:val="0E73142A"/>
    <w:rsid w:val="0EA7E308"/>
    <w:rsid w:val="0EC4FF5F"/>
    <w:rsid w:val="0F6D1348"/>
    <w:rsid w:val="0F97A839"/>
    <w:rsid w:val="0FEBD56D"/>
    <w:rsid w:val="100F49A9"/>
    <w:rsid w:val="1043B369"/>
    <w:rsid w:val="10C7B21D"/>
    <w:rsid w:val="10D24464"/>
    <w:rsid w:val="112C7E4E"/>
    <w:rsid w:val="1139F852"/>
    <w:rsid w:val="118588C6"/>
    <w:rsid w:val="11898BF5"/>
    <w:rsid w:val="12336FA2"/>
    <w:rsid w:val="12540C6D"/>
    <w:rsid w:val="12681E1B"/>
    <w:rsid w:val="12B1E6E1"/>
    <w:rsid w:val="12C14197"/>
    <w:rsid w:val="12CA4CB8"/>
    <w:rsid w:val="131B0B79"/>
    <w:rsid w:val="1343AC2B"/>
    <w:rsid w:val="1377C733"/>
    <w:rsid w:val="137B542B"/>
    <w:rsid w:val="13908271"/>
    <w:rsid w:val="14423BD9"/>
    <w:rsid w:val="1459ACC8"/>
    <w:rsid w:val="148D5DEC"/>
    <w:rsid w:val="149C3BDE"/>
    <w:rsid w:val="14BD2988"/>
    <w:rsid w:val="14CC2AD1"/>
    <w:rsid w:val="14D1C9BA"/>
    <w:rsid w:val="152BCECD"/>
    <w:rsid w:val="156A7A8D"/>
    <w:rsid w:val="15A138E5"/>
    <w:rsid w:val="15DE0C3A"/>
    <w:rsid w:val="16380C3F"/>
    <w:rsid w:val="1658F9E9"/>
    <w:rsid w:val="16C7B9D5"/>
    <w:rsid w:val="1743533D"/>
    <w:rsid w:val="175773C7"/>
    <w:rsid w:val="178590E4"/>
    <w:rsid w:val="17D0A256"/>
    <w:rsid w:val="17DF1C55"/>
    <w:rsid w:val="1806BE45"/>
    <w:rsid w:val="184EC54E"/>
    <w:rsid w:val="1902CA7C"/>
    <w:rsid w:val="1915ACFC"/>
    <w:rsid w:val="191D9A82"/>
    <w:rsid w:val="196260E2"/>
    <w:rsid w:val="196FAD01"/>
    <w:rsid w:val="19909AAB"/>
    <w:rsid w:val="19FF410B"/>
    <w:rsid w:val="1A5506E6"/>
    <w:rsid w:val="1A575B0A"/>
    <w:rsid w:val="1AB52DB6"/>
    <w:rsid w:val="1AE7A3B8"/>
    <w:rsid w:val="1AFE3143"/>
    <w:rsid w:val="1B08129B"/>
    <w:rsid w:val="1B14BCEA"/>
    <w:rsid w:val="1B256272"/>
    <w:rsid w:val="1BDE6B2A"/>
    <w:rsid w:val="1C38EBB9"/>
    <w:rsid w:val="1C9893FC"/>
    <w:rsid w:val="1C989964"/>
    <w:rsid w:val="1CC65B03"/>
    <w:rsid w:val="1CC6FFD6"/>
    <w:rsid w:val="1CCB13CF"/>
    <w:rsid w:val="1CECC852"/>
    <w:rsid w:val="1CEDCCB1"/>
    <w:rsid w:val="1D51B302"/>
    <w:rsid w:val="1D71CA23"/>
    <w:rsid w:val="1D73297F"/>
    <w:rsid w:val="1DE1A0A4"/>
    <w:rsid w:val="1DFA577C"/>
    <w:rsid w:val="1E3025B9"/>
    <w:rsid w:val="1E3D1D57"/>
    <w:rsid w:val="1E640BCE"/>
    <w:rsid w:val="1E828E02"/>
    <w:rsid w:val="1E994959"/>
    <w:rsid w:val="1EA2C56F"/>
    <w:rsid w:val="1EFA0B6B"/>
    <w:rsid w:val="1F8401F4"/>
    <w:rsid w:val="1F8CDC06"/>
    <w:rsid w:val="1FA9F5F2"/>
    <w:rsid w:val="1FD9F657"/>
    <w:rsid w:val="204058F3"/>
    <w:rsid w:val="20679A5D"/>
    <w:rsid w:val="206DB998"/>
    <w:rsid w:val="20816C4D"/>
    <w:rsid w:val="2085442A"/>
    <w:rsid w:val="20A84003"/>
    <w:rsid w:val="21000809"/>
    <w:rsid w:val="21041FDF"/>
    <w:rsid w:val="2128AC67"/>
    <w:rsid w:val="214C0CCB"/>
    <w:rsid w:val="21552B91"/>
    <w:rsid w:val="216C5979"/>
    <w:rsid w:val="21A0F757"/>
    <w:rsid w:val="21B661F9"/>
    <w:rsid w:val="22003DFE"/>
    <w:rsid w:val="22D0422A"/>
    <w:rsid w:val="22E36269"/>
    <w:rsid w:val="22E65FFF"/>
    <w:rsid w:val="22E964E3"/>
    <w:rsid w:val="22EDEDEC"/>
    <w:rsid w:val="23067152"/>
    <w:rsid w:val="23422702"/>
    <w:rsid w:val="23548724"/>
    <w:rsid w:val="235D0E35"/>
    <w:rsid w:val="23763692"/>
    <w:rsid w:val="23B90D0F"/>
    <w:rsid w:val="23BC68CA"/>
    <w:rsid w:val="2401AF85"/>
    <w:rsid w:val="240375ED"/>
    <w:rsid w:val="245321A4"/>
    <w:rsid w:val="2537C091"/>
    <w:rsid w:val="25418B6F"/>
    <w:rsid w:val="25D3792C"/>
    <w:rsid w:val="25F32209"/>
    <w:rsid w:val="25FC1D8A"/>
    <w:rsid w:val="262BB484"/>
    <w:rsid w:val="262D4593"/>
    <w:rsid w:val="26309E1D"/>
    <w:rsid w:val="2687AB48"/>
    <w:rsid w:val="268D1F92"/>
    <w:rsid w:val="26ADD754"/>
    <w:rsid w:val="26B2CD05"/>
    <w:rsid w:val="270B0FCF"/>
    <w:rsid w:val="2734DB72"/>
    <w:rsid w:val="2750EC3D"/>
    <w:rsid w:val="279E7A6B"/>
    <w:rsid w:val="27C2ADDD"/>
    <w:rsid w:val="27C581D1"/>
    <w:rsid w:val="28386CDE"/>
    <w:rsid w:val="28B51061"/>
    <w:rsid w:val="28BC867A"/>
    <w:rsid w:val="28D0ABD3"/>
    <w:rsid w:val="28F7EFB2"/>
    <w:rsid w:val="290B9BD0"/>
    <w:rsid w:val="291F5C47"/>
    <w:rsid w:val="295E7E3E"/>
    <w:rsid w:val="29A1FB26"/>
    <w:rsid w:val="29E40288"/>
    <w:rsid w:val="2A0D357C"/>
    <w:rsid w:val="2A1DDC4B"/>
    <w:rsid w:val="2A29A65B"/>
    <w:rsid w:val="2A9F2343"/>
    <w:rsid w:val="2ABB2CA8"/>
    <w:rsid w:val="2AFA4E9F"/>
    <w:rsid w:val="2BB9ACAC"/>
    <w:rsid w:val="2C10D1BE"/>
    <w:rsid w:val="2C5E1239"/>
    <w:rsid w:val="2C6B5F0E"/>
    <w:rsid w:val="2C6CCB67"/>
    <w:rsid w:val="2C6EB905"/>
    <w:rsid w:val="2CA250A4"/>
    <w:rsid w:val="2D1D18D8"/>
    <w:rsid w:val="2D2541BA"/>
    <w:rsid w:val="2D284CD5"/>
    <w:rsid w:val="2D737C66"/>
    <w:rsid w:val="2D8F0003"/>
    <w:rsid w:val="2D997C35"/>
    <w:rsid w:val="2D9FF795"/>
    <w:rsid w:val="2DA0570C"/>
    <w:rsid w:val="2DBF5C48"/>
    <w:rsid w:val="2E33502D"/>
    <w:rsid w:val="2E4853E5"/>
    <w:rsid w:val="2E666D97"/>
    <w:rsid w:val="2EB3E3FD"/>
    <w:rsid w:val="2EB773AB"/>
    <w:rsid w:val="2F86B045"/>
    <w:rsid w:val="2F9878B9"/>
    <w:rsid w:val="2FA2FFD0"/>
    <w:rsid w:val="2FCDBFC2"/>
    <w:rsid w:val="2FF2A5C9"/>
    <w:rsid w:val="30276F36"/>
    <w:rsid w:val="3029838E"/>
    <w:rsid w:val="30437EC3"/>
    <w:rsid w:val="304B6437"/>
    <w:rsid w:val="30990CE1"/>
    <w:rsid w:val="30B75BE9"/>
    <w:rsid w:val="30DF2932"/>
    <w:rsid w:val="30F09A8F"/>
    <w:rsid w:val="31162BD3"/>
    <w:rsid w:val="313AD926"/>
    <w:rsid w:val="31C90F15"/>
    <w:rsid w:val="322C6F2D"/>
    <w:rsid w:val="3243AEFC"/>
    <w:rsid w:val="32B1FC34"/>
    <w:rsid w:val="3324CB81"/>
    <w:rsid w:val="333CBEEA"/>
    <w:rsid w:val="333D913D"/>
    <w:rsid w:val="334696E8"/>
    <w:rsid w:val="336E1E2B"/>
    <w:rsid w:val="33731E32"/>
    <w:rsid w:val="337331FF"/>
    <w:rsid w:val="3399F633"/>
    <w:rsid w:val="33B53B28"/>
    <w:rsid w:val="33D28589"/>
    <w:rsid w:val="33DA28E7"/>
    <w:rsid w:val="33E72F6A"/>
    <w:rsid w:val="34555F07"/>
    <w:rsid w:val="347BE85A"/>
    <w:rsid w:val="349C2AF7"/>
    <w:rsid w:val="34C604DA"/>
    <w:rsid w:val="3509EE8C"/>
    <w:rsid w:val="35510B89"/>
    <w:rsid w:val="35543F91"/>
    <w:rsid w:val="3590259D"/>
    <w:rsid w:val="36064498"/>
    <w:rsid w:val="370EBF21"/>
    <w:rsid w:val="3720E2F8"/>
    <w:rsid w:val="3727D364"/>
    <w:rsid w:val="37564B76"/>
    <w:rsid w:val="3782B668"/>
    <w:rsid w:val="37BA2082"/>
    <w:rsid w:val="38260C58"/>
    <w:rsid w:val="383749E8"/>
    <w:rsid w:val="395940F4"/>
    <w:rsid w:val="3977ECD3"/>
    <w:rsid w:val="39FD8C97"/>
    <w:rsid w:val="3A0A660A"/>
    <w:rsid w:val="3A11CD54"/>
    <w:rsid w:val="3A8C8FEF"/>
    <w:rsid w:val="3AF1B253"/>
    <w:rsid w:val="3B04AB00"/>
    <w:rsid w:val="3B4ED4A8"/>
    <w:rsid w:val="3B7DF1EC"/>
    <w:rsid w:val="3B827CC2"/>
    <w:rsid w:val="3BA153A9"/>
    <w:rsid w:val="3BE06C9E"/>
    <w:rsid w:val="3BE5EBF8"/>
    <w:rsid w:val="3C11913D"/>
    <w:rsid w:val="3C1E528F"/>
    <w:rsid w:val="3C32D7C0"/>
    <w:rsid w:val="3D341F9F"/>
    <w:rsid w:val="3D47BB69"/>
    <w:rsid w:val="3D47E9F4"/>
    <w:rsid w:val="3D7E00A5"/>
    <w:rsid w:val="3DF39BBA"/>
    <w:rsid w:val="3E0218ED"/>
    <w:rsid w:val="3E1A4BD3"/>
    <w:rsid w:val="3E1EFCB2"/>
    <w:rsid w:val="3E5818DD"/>
    <w:rsid w:val="3EBA1A1C"/>
    <w:rsid w:val="3ECF2BAB"/>
    <w:rsid w:val="3F0BEB86"/>
    <w:rsid w:val="3F51EDD4"/>
    <w:rsid w:val="3F533567"/>
    <w:rsid w:val="3F6834F8"/>
    <w:rsid w:val="3FBE45A6"/>
    <w:rsid w:val="3FCCD682"/>
    <w:rsid w:val="3FEDFB01"/>
    <w:rsid w:val="4035F9E6"/>
    <w:rsid w:val="4057EF96"/>
    <w:rsid w:val="40B921B9"/>
    <w:rsid w:val="411C8617"/>
    <w:rsid w:val="414091F6"/>
    <w:rsid w:val="41B8EA1E"/>
    <w:rsid w:val="41C66802"/>
    <w:rsid w:val="42B08925"/>
    <w:rsid w:val="42BF6BC6"/>
    <w:rsid w:val="42CC7F4C"/>
    <w:rsid w:val="42E14D90"/>
    <w:rsid w:val="42F0576A"/>
    <w:rsid w:val="4305EE33"/>
    <w:rsid w:val="441A9179"/>
    <w:rsid w:val="445E583A"/>
    <w:rsid w:val="44619ED1"/>
    <w:rsid w:val="446BDDE5"/>
    <w:rsid w:val="447F35DC"/>
    <w:rsid w:val="450DE339"/>
    <w:rsid w:val="4568CD82"/>
    <w:rsid w:val="45A52C42"/>
    <w:rsid w:val="45E991B2"/>
    <w:rsid w:val="46074DC1"/>
    <w:rsid w:val="4692CA18"/>
    <w:rsid w:val="4699D91B"/>
    <w:rsid w:val="46D358CB"/>
    <w:rsid w:val="46EE9DAF"/>
    <w:rsid w:val="473137F0"/>
    <w:rsid w:val="476029DC"/>
    <w:rsid w:val="476BDBF0"/>
    <w:rsid w:val="47831C7B"/>
    <w:rsid w:val="4787B90D"/>
    <w:rsid w:val="48592761"/>
    <w:rsid w:val="4862AA2D"/>
    <w:rsid w:val="48BA790F"/>
    <w:rsid w:val="4959C993"/>
    <w:rsid w:val="49AA686B"/>
    <w:rsid w:val="49B8C971"/>
    <w:rsid w:val="49C97A81"/>
    <w:rsid w:val="49F3B884"/>
    <w:rsid w:val="4A55F005"/>
    <w:rsid w:val="4A94A07B"/>
    <w:rsid w:val="4ABD599F"/>
    <w:rsid w:val="4B12EC94"/>
    <w:rsid w:val="4B5CD3FA"/>
    <w:rsid w:val="4C085AE5"/>
    <w:rsid w:val="4C1AB465"/>
    <w:rsid w:val="4C2052E7"/>
    <w:rsid w:val="4C65B4F3"/>
    <w:rsid w:val="4C76EFCA"/>
    <w:rsid w:val="4C975619"/>
    <w:rsid w:val="4CC165B1"/>
    <w:rsid w:val="4CE31834"/>
    <w:rsid w:val="4CEE71F5"/>
    <w:rsid w:val="4D18DE6D"/>
    <w:rsid w:val="4D3FE6D9"/>
    <w:rsid w:val="4D574D8C"/>
    <w:rsid w:val="4DBC2348"/>
    <w:rsid w:val="4DBE3577"/>
    <w:rsid w:val="4DC365C3"/>
    <w:rsid w:val="4DC9D4B7"/>
    <w:rsid w:val="4DCC413D"/>
    <w:rsid w:val="4DEDC1A1"/>
    <w:rsid w:val="4DF9F758"/>
    <w:rsid w:val="4E0AD2A5"/>
    <w:rsid w:val="4E14CD88"/>
    <w:rsid w:val="4E291450"/>
    <w:rsid w:val="4E39072D"/>
    <w:rsid w:val="4E763B51"/>
    <w:rsid w:val="4EF9AF94"/>
    <w:rsid w:val="4EFCFF6C"/>
    <w:rsid w:val="4EFE772E"/>
    <w:rsid w:val="4F300664"/>
    <w:rsid w:val="4F57F3A9"/>
    <w:rsid w:val="4F76848E"/>
    <w:rsid w:val="4F92CC7A"/>
    <w:rsid w:val="4FA4E430"/>
    <w:rsid w:val="4FC05FF7"/>
    <w:rsid w:val="4FCC3E1C"/>
    <w:rsid w:val="4FD99FCE"/>
    <w:rsid w:val="4FE62AA8"/>
    <w:rsid w:val="504E3095"/>
    <w:rsid w:val="5064D185"/>
    <w:rsid w:val="5076C965"/>
    <w:rsid w:val="50892B22"/>
    <w:rsid w:val="508E5B83"/>
    <w:rsid w:val="50957FF5"/>
    <w:rsid w:val="509EA96F"/>
    <w:rsid w:val="50F8F19E"/>
    <w:rsid w:val="5107B839"/>
    <w:rsid w:val="5119B05D"/>
    <w:rsid w:val="519BED7F"/>
    <w:rsid w:val="522C35A6"/>
    <w:rsid w:val="523A79D0"/>
    <w:rsid w:val="5241C064"/>
    <w:rsid w:val="528273B9"/>
    <w:rsid w:val="52A0509E"/>
    <w:rsid w:val="52AEACA4"/>
    <w:rsid w:val="52CB4A1B"/>
    <w:rsid w:val="52E26201"/>
    <w:rsid w:val="52EEA942"/>
    <w:rsid w:val="54368298"/>
    <w:rsid w:val="54671A7C"/>
    <w:rsid w:val="5481DCAA"/>
    <w:rsid w:val="54A95265"/>
    <w:rsid w:val="54DE3A2F"/>
    <w:rsid w:val="553FEDA5"/>
    <w:rsid w:val="5568F118"/>
    <w:rsid w:val="556C8E4B"/>
    <w:rsid w:val="558C88D4"/>
    <w:rsid w:val="55A633C0"/>
    <w:rsid w:val="55C8CF3A"/>
    <w:rsid w:val="55CB92C2"/>
    <w:rsid w:val="5602EADD"/>
    <w:rsid w:val="56046D51"/>
    <w:rsid w:val="56565236"/>
    <w:rsid w:val="565BFFF3"/>
    <w:rsid w:val="56768895"/>
    <w:rsid w:val="574BB0A6"/>
    <w:rsid w:val="5755D32E"/>
    <w:rsid w:val="578211A7"/>
    <w:rsid w:val="57EFDD5A"/>
    <w:rsid w:val="580A4FCF"/>
    <w:rsid w:val="584498F1"/>
    <w:rsid w:val="5889AA18"/>
    <w:rsid w:val="58A091DA"/>
    <w:rsid w:val="58D685DB"/>
    <w:rsid w:val="593C4A75"/>
    <w:rsid w:val="596D25A1"/>
    <w:rsid w:val="598F8E75"/>
    <w:rsid w:val="59E4CD66"/>
    <w:rsid w:val="59E82020"/>
    <w:rsid w:val="59EC7E2A"/>
    <w:rsid w:val="5A02FC89"/>
    <w:rsid w:val="5A080237"/>
    <w:rsid w:val="5A2C8F69"/>
    <w:rsid w:val="5A321918"/>
    <w:rsid w:val="5A3BE942"/>
    <w:rsid w:val="5A78E27F"/>
    <w:rsid w:val="5A7C8450"/>
    <w:rsid w:val="5AD1D670"/>
    <w:rsid w:val="5B08F602"/>
    <w:rsid w:val="5B6AA277"/>
    <w:rsid w:val="5B6BDADF"/>
    <w:rsid w:val="5B8D0489"/>
    <w:rsid w:val="5BA86847"/>
    <w:rsid w:val="5BCBDDC9"/>
    <w:rsid w:val="5BD8329C"/>
    <w:rsid w:val="5C1F4219"/>
    <w:rsid w:val="5C33C5E3"/>
    <w:rsid w:val="5C52CC66"/>
    <w:rsid w:val="5C611653"/>
    <w:rsid w:val="5CE5BFCD"/>
    <w:rsid w:val="5D06D6A1"/>
    <w:rsid w:val="5D1DF743"/>
    <w:rsid w:val="5D33E547"/>
    <w:rsid w:val="5D4B0281"/>
    <w:rsid w:val="5DC4447C"/>
    <w:rsid w:val="5E3C6BF0"/>
    <w:rsid w:val="5E5A304B"/>
    <w:rsid w:val="5E65681E"/>
    <w:rsid w:val="5ECD7A8E"/>
    <w:rsid w:val="5EFAC4A9"/>
    <w:rsid w:val="5F0FD35E"/>
    <w:rsid w:val="5F4A2529"/>
    <w:rsid w:val="5F4FCBF8"/>
    <w:rsid w:val="5F6014DD"/>
    <w:rsid w:val="5FC4A089"/>
    <w:rsid w:val="5FC6DDD1"/>
    <w:rsid w:val="5FF0C387"/>
    <w:rsid w:val="6019756A"/>
    <w:rsid w:val="602C22DF"/>
    <w:rsid w:val="6052BDFA"/>
    <w:rsid w:val="607F9FE7"/>
    <w:rsid w:val="609EEE67"/>
    <w:rsid w:val="60ABA3BF"/>
    <w:rsid w:val="60CD9432"/>
    <w:rsid w:val="60CE552E"/>
    <w:rsid w:val="60E304CC"/>
    <w:rsid w:val="611572FF"/>
    <w:rsid w:val="618C1436"/>
    <w:rsid w:val="619F66B2"/>
    <w:rsid w:val="61AA2EE4"/>
    <w:rsid w:val="61E61C77"/>
    <w:rsid w:val="61FCC9B4"/>
    <w:rsid w:val="62477420"/>
    <w:rsid w:val="627EA514"/>
    <w:rsid w:val="62909037"/>
    <w:rsid w:val="62F49E1C"/>
    <w:rsid w:val="630063AC"/>
    <w:rsid w:val="63950A48"/>
    <w:rsid w:val="63AAC6B0"/>
    <w:rsid w:val="63D68F29"/>
    <w:rsid w:val="63F1BF4D"/>
    <w:rsid w:val="6430D0DD"/>
    <w:rsid w:val="6435FFA1"/>
    <w:rsid w:val="6447FB33"/>
    <w:rsid w:val="64EA48B2"/>
    <w:rsid w:val="64FD9DD2"/>
    <w:rsid w:val="653204C3"/>
    <w:rsid w:val="6534066E"/>
    <w:rsid w:val="65553DBA"/>
    <w:rsid w:val="65563984"/>
    <w:rsid w:val="6571F85B"/>
    <w:rsid w:val="65838F1C"/>
    <w:rsid w:val="65952E44"/>
    <w:rsid w:val="65E8DF57"/>
    <w:rsid w:val="65EF8582"/>
    <w:rsid w:val="6638AC91"/>
    <w:rsid w:val="664D5AA5"/>
    <w:rsid w:val="665BAAC6"/>
    <w:rsid w:val="6661CBB7"/>
    <w:rsid w:val="667D5917"/>
    <w:rsid w:val="66D5920E"/>
    <w:rsid w:val="6729D1D3"/>
    <w:rsid w:val="672BE3A4"/>
    <w:rsid w:val="6751215D"/>
    <w:rsid w:val="677D6D71"/>
    <w:rsid w:val="67C17C16"/>
    <w:rsid w:val="67EB104E"/>
    <w:rsid w:val="68272CB5"/>
    <w:rsid w:val="68302404"/>
    <w:rsid w:val="683947D8"/>
    <w:rsid w:val="6889B304"/>
    <w:rsid w:val="6893C9DC"/>
    <w:rsid w:val="68AA60D1"/>
    <w:rsid w:val="68C5A234"/>
    <w:rsid w:val="68F67721"/>
    <w:rsid w:val="6980603F"/>
    <w:rsid w:val="698EF72F"/>
    <w:rsid w:val="69B78915"/>
    <w:rsid w:val="6A8914A4"/>
    <w:rsid w:val="6AD44983"/>
    <w:rsid w:val="6B11ED59"/>
    <w:rsid w:val="6B4FAF5A"/>
    <w:rsid w:val="6B50CA3A"/>
    <w:rsid w:val="6B6EE48E"/>
    <w:rsid w:val="6B862F3F"/>
    <w:rsid w:val="6BE6370A"/>
    <w:rsid w:val="6BEFE3D6"/>
    <w:rsid w:val="6C55CA9D"/>
    <w:rsid w:val="6CD0DE82"/>
    <w:rsid w:val="6CD73B14"/>
    <w:rsid w:val="6D16E9B5"/>
    <w:rsid w:val="6D1E2AA9"/>
    <w:rsid w:val="6D3F1853"/>
    <w:rsid w:val="6D536EC0"/>
    <w:rsid w:val="6D8110C4"/>
    <w:rsid w:val="6DD60A23"/>
    <w:rsid w:val="6E0EADD1"/>
    <w:rsid w:val="6E1C9211"/>
    <w:rsid w:val="6E492E83"/>
    <w:rsid w:val="6ED6A1B7"/>
    <w:rsid w:val="6EDAE8B4"/>
    <w:rsid w:val="6EE6BC1E"/>
    <w:rsid w:val="6EEECB31"/>
    <w:rsid w:val="6EF04968"/>
    <w:rsid w:val="6F19A255"/>
    <w:rsid w:val="6F369006"/>
    <w:rsid w:val="6F406703"/>
    <w:rsid w:val="6F71C3BB"/>
    <w:rsid w:val="6F7E262D"/>
    <w:rsid w:val="7055CB6B"/>
    <w:rsid w:val="70653257"/>
    <w:rsid w:val="707CA171"/>
    <w:rsid w:val="70A6549D"/>
    <w:rsid w:val="70EDD6EB"/>
    <w:rsid w:val="70F9D4E3"/>
    <w:rsid w:val="70FF1CE3"/>
    <w:rsid w:val="711762D8"/>
    <w:rsid w:val="71D18D37"/>
    <w:rsid w:val="72061B96"/>
    <w:rsid w:val="720E429B"/>
    <w:rsid w:val="7289A74C"/>
    <w:rsid w:val="7295C777"/>
    <w:rsid w:val="72DF0A52"/>
    <w:rsid w:val="72FA55DC"/>
    <w:rsid w:val="7371CBA5"/>
    <w:rsid w:val="740E1EE6"/>
    <w:rsid w:val="741E9D69"/>
    <w:rsid w:val="742577AD"/>
    <w:rsid w:val="742BF604"/>
    <w:rsid w:val="7430EA25"/>
    <w:rsid w:val="748AF4C1"/>
    <w:rsid w:val="749D0E6C"/>
    <w:rsid w:val="7504B469"/>
    <w:rsid w:val="752DA057"/>
    <w:rsid w:val="759734BF"/>
    <w:rsid w:val="759E57E8"/>
    <w:rsid w:val="75FC764B"/>
    <w:rsid w:val="760F6230"/>
    <w:rsid w:val="763E1A7C"/>
    <w:rsid w:val="76FA5106"/>
    <w:rsid w:val="7724B43A"/>
    <w:rsid w:val="7758CF80"/>
    <w:rsid w:val="776EB20A"/>
    <w:rsid w:val="7778E971"/>
    <w:rsid w:val="77CD8CA6"/>
    <w:rsid w:val="77CDE489"/>
    <w:rsid w:val="77DA80AE"/>
    <w:rsid w:val="78073C56"/>
    <w:rsid w:val="7852B320"/>
    <w:rsid w:val="78AD7B62"/>
    <w:rsid w:val="78FEBE51"/>
    <w:rsid w:val="791DE7A1"/>
    <w:rsid w:val="79812514"/>
    <w:rsid w:val="79AF618A"/>
    <w:rsid w:val="7A049B37"/>
    <w:rsid w:val="7A097B52"/>
    <w:rsid w:val="7A4D9DCC"/>
    <w:rsid w:val="7A7E63B1"/>
    <w:rsid w:val="7A899676"/>
    <w:rsid w:val="7A94B931"/>
    <w:rsid w:val="7A9A10AD"/>
    <w:rsid w:val="7AD12298"/>
    <w:rsid w:val="7ADD114E"/>
    <w:rsid w:val="7B331577"/>
    <w:rsid w:val="7B96E16D"/>
    <w:rsid w:val="7BA134E6"/>
    <w:rsid w:val="7C4A47FE"/>
    <w:rsid w:val="7C6AAA07"/>
    <w:rsid w:val="7CDF14C6"/>
    <w:rsid w:val="7CF020B6"/>
    <w:rsid w:val="7D2BBBCA"/>
    <w:rsid w:val="7D6FB48A"/>
    <w:rsid w:val="7D93F5BE"/>
    <w:rsid w:val="7D996333"/>
    <w:rsid w:val="7DD717D1"/>
    <w:rsid w:val="7DEB685C"/>
    <w:rsid w:val="7DFD97F0"/>
    <w:rsid w:val="7E52E3D9"/>
    <w:rsid w:val="7E5EA308"/>
    <w:rsid w:val="7E7161E9"/>
    <w:rsid w:val="7E866530"/>
    <w:rsid w:val="7EB35920"/>
    <w:rsid w:val="7EFEC507"/>
    <w:rsid w:val="7F27FA93"/>
    <w:rsid w:val="7F70312D"/>
    <w:rsid w:val="7F90ACB1"/>
    <w:rsid w:val="7FBD7A2D"/>
    <w:rsid w:val="7FDFD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1BA66"/>
  <w15:docId w15:val="{EC04B191-6AC7-4A40-9B6D-FA67B75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12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9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D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488C"/>
    <w:p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488C"/>
    <w:rPr>
      <w:rFonts w:ascii="Arial" w:eastAsia="Times New Roman" w:hAnsi="Arial" w:cs="Arial"/>
      <w:b/>
      <w:sz w:val="24"/>
      <w:lang w:eastAsia="en-US"/>
    </w:rPr>
  </w:style>
  <w:style w:type="paragraph" w:customStyle="1" w:styleId="CharCharCharCharCharCharCharChar">
    <w:name w:val="Char Char Char Char Char Char Char Char"/>
    <w:basedOn w:val="Normal"/>
    <w:rsid w:val="004E6157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D6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D60"/>
    <w:rPr>
      <w:vertAlign w:val="superscript"/>
    </w:rPr>
  </w:style>
  <w:style w:type="paragraph" w:styleId="Revision">
    <w:name w:val="Revision"/>
    <w:hidden/>
    <w:uiPriority w:val="99"/>
    <w:semiHidden/>
    <w:rsid w:val="00D76B5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45268"/>
    <w:rPr>
      <w:color w:val="0000FF"/>
      <w:u w:val="single"/>
    </w:rPr>
  </w:style>
  <w:style w:type="paragraph" w:customStyle="1" w:styleId="paragraph">
    <w:name w:val="paragraph"/>
    <w:basedOn w:val="Normal"/>
    <w:rsid w:val="007C1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C128F"/>
  </w:style>
  <w:style w:type="character" w:customStyle="1" w:styleId="eop">
    <w:name w:val="eop"/>
    <w:basedOn w:val="DefaultParagraphFont"/>
    <w:rsid w:val="007C128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68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40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26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4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1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64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73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37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33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1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36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10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199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46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957B2FC-094C-4CAA-85C4-24D33DDA8FD9}">
    <t:Anchor>
      <t:Comment id="514201885"/>
    </t:Anchor>
    <t:History>
      <t:Event id="{3458F94B-645B-433A-83E2-5E7DC528ED5B}" time="2024-01-02T14:14:06.308Z">
        <t:Attribution userId="S::tracy.barnett@harrow.gov.uk::b9d96763-9a85-4ffd-8464-8ba9ec9e7a64" userProvider="AD" userName="Tracy Barnett"/>
        <t:Anchor>
          <t:Comment id="514201885"/>
        </t:Anchor>
        <t:Create/>
      </t:Event>
      <t:Event id="{6AB84E21-B31B-4E13-8696-5B109C24D76F}" time="2024-01-02T14:14:06.308Z">
        <t:Attribution userId="S::tracy.barnett@harrow.gov.uk::b9d96763-9a85-4ffd-8464-8ba9ec9e7a64" userProvider="AD" userName="Tracy Barnett"/>
        <t:Anchor>
          <t:Comment id="514201885"/>
        </t:Anchor>
        <t:Assign userId="S::Cher.Jones@harrow.gov.uk::7dacff77-5771-4469-baea-8dab719dfce6" userProvider="AD" userName="Cher Jones"/>
      </t:Event>
      <t:Event id="{A9B21C3D-765A-4328-AA5D-837C24238709}" time="2024-01-02T14:14:06.308Z">
        <t:Attribution userId="S::tracy.barnett@harrow.gov.uk::b9d96763-9a85-4ffd-8464-8ba9ec9e7a64" userProvider="AD" userName="Tracy Barnett"/>
        <t:Anchor>
          <t:Comment id="514201885"/>
        </t:Anchor>
        <t:SetTitle title="@Cher Jones Is this still deferred or due to start in Q4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D0B5EBE6FBA4386267E44C1915B3E" ma:contentTypeVersion="6" ma:contentTypeDescription="Create a new document." ma:contentTypeScope="" ma:versionID="038d82b335bdf82ce1f75a2928ba31a3">
  <xsd:schema xmlns:xsd="http://www.w3.org/2001/XMLSchema" xmlns:xs="http://www.w3.org/2001/XMLSchema" xmlns:p="http://schemas.microsoft.com/office/2006/metadata/properties" xmlns:ns2="f97bcfd9-eee9-4b50-8430-bb265ff25d0f" xmlns:ns3="339e2096-1cad-492d-804d-9abc973e09ce" targetNamespace="http://schemas.microsoft.com/office/2006/metadata/properties" ma:root="true" ma:fieldsID="20ed12ab6857508fc84c42c93d880692" ns2:_="" ns3:_="">
    <xsd:import namespace="f97bcfd9-eee9-4b50-8430-bb265ff25d0f"/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cfd9-eee9-4b50-8430-bb265ff25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9e2096-1cad-492d-804d-9abc973e09ce">
      <UserInfo>
        <DisplayName>Cher Jones</DisplayName>
        <AccountId>12</AccountId>
        <AccountType/>
      </UserInfo>
      <UserInfo>
        <DisplayName>Justin Phillips (Anti Fraud)</DisplayName>
        <AccountId>13</AccountId>
        <AccountType/>
      </UserInfo>
      <UserInfo>
        <DisplayName>Jessica Farmer</DisplayName>
        <AccountId>174</AccountId>
        <AccountType/>
      </UserInfo>
      <UserInfo>
        <DisplayName>Sharon Daniels</DisplayName>
        <AccountId>98</AccountId>
        <AccountType/>
      </UserInfo>
      <UserInfo>
        <DisplayName>Arun Birah</DisplayName>
        <AccountId>291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97842-439E-4AA5-A896-64D117ADD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0CA71-ABCD-41F0-97D5-DD22EF59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cfd9-eee9-4b50-8430-bb265ff25d0f"/>
    <ds:schemaRef ds:uri="339e2096-1cad-492d-804d-9abc973e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3E8D2-B0DB-40F8-9B12-FE72140E3BD3}">
  <ds:schemaRefs>
    <ds:schemaRef ds:uri="http://purl.org/dc/elements/1.1/"/>
    <ds:schemaRef ds:uri="http://schemas.microsoft.com/office/2006/metadata/properties"/>
    <ds:schemaRef ds:uri="http://purl.org/dc/dcmitype/"/>
    <ds:schemaRef ds:uri="f97bcfd9-eee9-4b50-8430-bb265ff25d0f"/>
    <ds:schemaRef ds:uri="http://schemas.microsoft.com/office/2006/documentManagement/types"/>
    <ds:schemaRef ds:uri="http://schemas.openxmlformats.org/package/2006/metadata/core-properties"/>
    <ds:schemaRef ds:uri="339e2096-1cad-492d-804d-9abc973e09c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645482-E50C-4F90-8F2E-1C99BD17A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16121</Characters>
  <Application>Microsoft Office Word</Application>
  <DocSecurity>0</DocSecurity>
  <Lines>134</Lines>
  <Paragraphs>37</Paragraphs>
  <ScaleCrop>false</ScaleCrop>
  <Company>London Borough of Harrow</Company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Dixson</dc:creator>
  <cp:keywords/>
  <cp:lastModifiedBy>Arun Birah</cp:lastModifiedBy>
  <cp:revision>2</cp:revision>
  <cp:lastPrinted>2020-01-03T03:17:00Z</cp:lastPrinted>
  <dcterms:created xsi:type="dcterms:W3CDTF">2024-03-08T13:43:00Z</dcterms:created>
  <dcterms:modified xsi:type="dcterms:W3CDTF">2024-03-08T13:43:00Z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0x010100E98D0B5EBE6FBA4386267E44C1915B3E</vt:lpwstr>
  </property>
</Properties>
</file>